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8B4D" w14:textId="77777777" w:rsidR="001605C9" w:rsidRDefault="001605C9" w:rsidP="001605C9">
      <w:pPr>
        <w:spacing w:line="360" w:lineRule="auto"/>
        <w:jc w:val="both"/>
        <w:rPr>
          <w:rFonts w:ascii="Times New Roman" w:hAnsi="Times New Roman" w:cs="Times New Roman"/>
          <w:b/>
          <w:bCs/>
          <w:sz w:val="40"/>
          <w:szCs w:val="40"/>
        </w:rPr>
      </w:pPr>
      <w:r w:rsidRPr="003E3577">
        <w:rPr>
          <w:rFonts w:ascii="Times New Roman" w:hAnsi="Times New Roman" w:cs="Times New Roman"/>
          <w:b/>
          <w:bCs/>
          <w:sz w:val="40"/>
          <w:szCs w:val="40"/>
        </w:rPr>
        <w:t xml:space="preserve">Damages for the </w:t>
      </w:r>
      <w:proofErr w:type="spellStart"/>
      <w:r w:rsidRPr="003E3577">
        <w:rPr>
          <w:rFonts w:ascii="Times New Roman" w:hAnsi="Times New Roman" w:cs="Times New Roman"/>
          <w:b/>
          <w:bCs/>
          <w:sz w:val="40"/>
          <w:szCs w:val="40"/>
        </w:rPr>
        <w:t>damnified</w:t>
      </w:r>
      <w:proofErr w:type="spellEnd"/>
      <w:r>
        <w:rPr>
          <w:rFonts w:ascii="Times New Roman" w:hAnsi="Times New Roman" w:cs="Times New Roman"/>
          <w:b/>
          <w:bCs/>
          <w:sz w:val="40"/>
          <w:szCs w:val="40"/>
        </w:rPr>
        <w:t xml:space="preserve">?  </w:t>
      </w:r>
    </w:p>
    <w:p w14:paraId="5B0DD6BF" w14:textId="77777777" w:rsidR="001605C9" w:rsidRPr="003E3577" w:rsidRDefault="001605C9" w:rsidP="001605C9">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What DOES Law of Property Act s 104(2) mean?  </w:t>
      </w:r>
    </w:p>
    <w:p w14:paraId="3CF44C0E" w14:textId="77777777" w:rsidR="001605C9" w:rsidRDefault="001605C9" w:rsidP="001605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Section 104(2) is frequently used to ease the conveyancing process when a mortgagee sells the security: it enables the mortgagee to pass good title to a purchaser even if the exercise of its power of sale is unauthorised, </w:t>
      </w:r>
      <w:proofErr w:type="gramStart"/>
      <w:r>
        <w:rPr>
          <w:rFonts w:ascii="Times New Roman" w:hAnsi="Times New Roman" w:cs="Times New Roman"/>
          <w:sz w:val="24"/>
          <w:szCs w:val="24"/>
        </w:rPr>
        <w:t>improper</w:t>
      </w:r>
      <w:proofErr w:type="gramEnd"/>
      <w:r>
        <w:rPr>
          <w:rFonts w:ascii="Times New Roman" w:hAnsi="Times New Roman" w:cs="Times New Roman"/>
          <w:sz w:val="24"/>
          <w:szCs w:val="24"/>
        </w:rPr>
        <w:t xml:space="preserve"> or irregular.  The corollary of that power, the obligation to pay damages if a wrongful sale occurs, has, until recently, received little attention.  This article high-lights two recent cases, explains what we can learn from them, and sets out some thoughts on the remaining unanswered questions arising out of this provision.  </w:t>
      </w:r>
    </w:p>
    <w:p w14:paraId="2940861A" w14:textId="1C6B9D18" w:rsidR="003E3577" w:rsidRDefault="00285B4D" w:rsidP="003C305E">
      <w:pPr>
        <w:spacing w:after="0"/>
        <w:jc w:val="center"/>
        <w:rPr>
          <w:rFonts w:ascii="Times New Roman" w:hAnsi="Times New Roman" w:cs="Times New Roman"/>
          <w:sz w:val="24"/>
          <w:szCs w:val="24"/>
        </w:rPr>
      </w:pPr>
      <w:r w:rsidRPr="00285B4D">
        <w:rPr>
          <w:rFonts w:ascii="Times New Roman" w:hAnsi="Times New Roman" w:cs="Times New Roman"/>
          <w:b/>
          <w:bCs/>
          <w:noProof/>
          <w:sz w:val="24"/>
          <w:szCs w:val="24"/>
        </w:rPr>
        <mc:AlternateContent>
          <mc:Choice Requires="wps">
            <w:drawing>
              <wp:anchor distT="45720" distB="45720" distL="182880" distR="182880" simplePos="0" relativeHeight="251659264" behindDoc="1" locked="0" layoutInCell="1" allowOverlap="0" wp14:anchorId="7896AA01" wp14:editId="099E8E17">
                <wp:simplePos x="0" y="0"/>
                <wp:positionH relativeFrom="margin">
                  <wp:align>left</wp:align>
                </wp:positionH>
                <wp:positionV relativeFrom="paragraph">
                  <wp:posOffset>180975</wp:posOffset>
                </wp:positionV>
                <wp:extent cx="6200775" cy="2065655"/>
                <wp:effectExtent l="38100" t="38100" r="47625" b="3302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065655"/>
                        </a:xfrm>
                        <a:prstGeom prst="rect">
                          <a:avLst/>
                        </a:prstGeom>
                        <a:solidFill>
                          <a:schemeClr val="tx2"/>
                        </a:solidFill>
                        <a:ln w="76200" cmpd="dbl">
                          <a:solidFill>
                            <a:schemeClr val="tx2"/>
                          </a:solidFill>
                          <a:miter lim="800000"/>
                          <a:headEnd/>
                          <a:tailEnd/>
                        </a:ln>
                      </wps:spPr>
                      <wps:txbx>
                        <w:txbxContent>
                          <w:p w14:paraId="2345D7C2" w14:textId="08CF6AB3" w:rsidR="00285B4D" w:rsidRDefault="00285B4D">
                            <w:pPr>
                              <w:spacing w:after="0"/>
                              <w:jc w:val="center"/>
                              <w:rPr>
                                <w:i/>
                                <w:iCs/>
                                <w:caps/>
                                <w:color w:val="FFFFFF" w:themeColor="background1"/>
                                <w:sz w:val="28"/>
                              </w:rPr>
                            </w:pPr>
                            <w:r>
                              <w:rPr>
                                <w:i/>
                                <w:iCs/>
                                <w:caps/>
                                <w:color w:val="FFFFFF" w:themeColor="background1"/>
                                <w:sz w:val="28"/>
                              </w:rPr>
                              <w:t xml:space="preserve">key points: </w:t>
                            </w:r>
                          </w:p>
                          <w:p w14:paraId="7981A2C3" w14:textId="77777777" w:rsidR="00285B4D" w:rsidRDefault="00285B4D">
                            <w:pPr>
                              <w:spacing w:after="0"/>
                              <w:jc w:val="center"/>
                              <w:rPr>
                                <w:i/>
                                <w:iCs/>
                                <w:caps/>
                                <w:color w:val="FFFFFF" w:themeColor="background1"/>
                                <w:sz w:val="28"/>
                              </w:rPr>
                            </w:pPr>
                          </w:p>
                          <w:p w14:paraId="3876B092" w14:textId="1A73E162" w:rsidR="00285B4D" w:rsidRDefault="00285B4D" w:rsidP="00252B35">
                            <w:pPr>
                              <w:spacing w:after="0"/>
                              <w:ind w:firstLine="720"/>
                              <w:jc w:val="both"/>
                              <w:rPr>
                                <w:i/>
                                <w:iCs/>
                                <w:caps/>
                                <w:color w:val="FFFFFF" w:themeColor="background1"/>
                                <w:sz w:val="28"/>
                              </w:rPr>
                            </w:pPr>
                            <w:r>
                              <w:rPr>
                                <w:i/>
                                <w:iCs/>
                                <w:caps/>
                                <w:color w:val="FFFFFF" w:themeColor="background1"/>
                                <w:sz w:val="28"/>
                              </w:rPr>
                              <w:t>(</w:t>
                            </w:r>
                            <w:proofErr w:type="gramStart"/>
                            <w:r>
                              <w:rPr>
                                <w:i/>
                                <w:iCs/>
                                <w:caps/>
                                <w:color w:val="FFFFFF" w:themeColor="background1"/>
                                <w:sz w:val="28"/>
                              </w:rPr>
                              <w:t>1 )</w:t>
                            </w:r>
                            <w:proofErr w:type="gramEnd"/>
                            <w:r>
                              <w:rPr>
                                <w:i/>
                                <w:iCs/>
                                <w:caps/>
                                <w:color w:val="FFFFFF" w:themeColor="background1"/>
                                <w:sz w:val="28"/>
                              </w:rPr>
                              <w:t xml:space="preserve"> </w:t>
                            </w:r>
                            <w:r w:rsidR="005D0FC3">
                              <w:rPr>
                                <w:i/>
                                <w:iCs/>
                                <w:caps/>
                                <w:color w:val="FFFFFF" w:themeColor="background1"/>
                                <w:sz w:val="28"/>
                              </w:rPr>
                              <w:t xml:space="preserve"> Section 104(2) </w:t>
                            </w:r>
                            <w:r w:rsidR="00EB237E">
                              <w:rPr>
                                <w:i/>
                                <w:iCs/>
                                <w:caps/>
                                <w:color w:val="FFFFFF" w:themeColor="background1"/>
                                <w:sz w:val="28"/>
                              </w:rPr>
                              <w:t xml:space="preserve">does not create a new cause of action </w:t>
                            </w:r>
                          </w:p>
                          <w:p w14:paraId="6D8231F1" w14:textId="04014933" w:rsidR="00285B4D" w:rsidRDefault="00285B4D" w:rsidP="00252B35">
                            <w:pPr>
                              <w:spacing w:after="0"/>
                              <w:ind w:left="720"/>
                              <w:jc w:val="both"/>
                              <w:rPr>
                                <w:i/>
                                <w:iCs/>
                                <w:caps/>
                                <w:color w:val="FFFFFF" w:themeColor="background1"/>
                                <w:sz w:val="28"/>
                              </w:rPr>
                            </w:pPr>
                            <w:r>
                              <w:rPr>
                                <w:i/>
                                <w:iCs/>
                                <w:caps/>
                                <w:color w:val="FFFFFF" w:themeColor="background1"/>
                                <w:sz w:val="28"/>
                              </w:rPr>
                              <w:t xml:space="preserve">(2) </w:t>
                            </w:r>
                            <w:r w:rsidR="00475399">
                              <w:rPr>
                                <w:i/>
                                <w:iCs/>
                                <w:caps/>
                                <w:color w:val="FFFFFF" w:themeColor="background1"/>
                                <w:sz w:val="28"/>
                              </w:rPr>
                              <w:t>the only people who can claim are those interested in the equity of redemption</w:t>
                            </w:r>
                          </w:p>
                          <w:p w14:paraId="669AF9C1" w14:textId="0403E2F2" w:rsidR="00285B4D" w:rsidRPr="00285B4D" w:rsidRDefault="00285B4D" w:rsidP="00252B35">
                            <w:pPr>
                              <w:spacing w:after="0"/>
                              <w:ind w:firstLine="720"/>
                              <w:jc w:val="both"/>
                              <w:rPr>
                                <w:i/>
                                <w:iCs/>
                                <w:caps/>
                                <w:color w:val="FFFFFF" w:themeColor="background1"/>
                                <w:sz w:val="28"/>
                              </w:rPr>
                            </w:pPr>
                            <w:r>
                              <w:rPr>
                                <w:i/>
                                <w:iCs/>
                                <w:caps/>
                                <w:color w:val="FFFFFF" w:themeColor="background1"/>
                                <w:sz w:val="28"/>
                              </w:rPr>
                              <w:t>(</w:t>
                            </w:r>
                            <w:r w:rsidR="00494809">
                              <w:rPr>
                                <w:i/>
                                <w:iCs/>
                                <w:caps/>
                                <w:color w:val="FFFFFF" w:themeColor="background1"/>
                                <w:sz w:val="28"/>
                              </w:rPr>
                              <w:t xml:space="preserve">3) damages can be awarded on equitable compensation rules  </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20000</wp14:pctHeight>
                </wp14:sizeRelV>
              </wp:anchor>
            </w:drawing>
          </mc:Choice>
          <mc:Fallback>
            <w:pict>
              <v:rect w14:anchorId="7896AA01" id="Rectangle 4" o:spid="_x0000_s1026" style="position:absolute;left:0;text-align:left;margin-left:0;margin-top:14.25pt;width:488.25pt;height:162.65pt;z-index:-251657216;visibility:visible;mso-wrap-style:square;mso-width-percent:0;mso-height-percent:200;mso-wrap-distance-left:14.4pt;mso-wrap-distance-top:3.6pt;mso-wrap-distance-right:14.4pt;mso-wrap-distance-bottom:3.6pt;mso-position-horizontal:left;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" o:allowoverlap="f" fillcolor="#44546a [3215]" strokecolor="#44546a [3215]" strokeweight="6pt">
                <v:stroke linestyle="thinThin"/>
                <v:textbox inset="14.4pt,14.4pt,14.4pt,14.4pt">
                  <w:txbxContent>
                    <w:p w14:paraId="2345D7C2" w14:textId="08CF6AB3" w:rsidR="00285B4D" w:rsidRDefault="00285B4D">
                      <w:pPr>
                        <w:spacing w:after="0"/>
                        <w:jc w:val="center"/>
                        <w:rPr>
                          <w:i/>
                          <w:iCs/>
                          <w:caps/>
                          <w:color w:val="FFFFFF" w:themeColor="background1"/>
                          <w:sz w:val="28"/>
                        </w:rPr>
                      </w:pPr>
                      <w:r>
                        <w:rPr>
                          <w:i/>
                          <w:iCs/>
                          <w:caps/>
                          <w:color w:val="FFFFFF" w:themeColor="background1"/>
                          <w:sz w:val="28"/>
                        </w:rPr>
                        <w:t xml:space="preserve">key points: </w:t>
                      </w:r>
                    </w:p>
                    <w:p w14:paraId="7981A2C3" w14:textId="77777777" w:rsidR="00285B4D" w:rsidRDefault="00285B4D">
                      <w:pPr>
                        <w:spacing w:after="0"/>
                        <w:jc w:val="center"/>
                        <w:rPr>
                          <w:i/>
                          <w:iCs/>
                          <w:caps/>
                          <w:color w:val="FFFFFF" w:themeColor="background1"/>
                          <w:sz w:val="28"/>
                        </w:rPr>
                      </w:pPr>
                    </w:p>
                    <w:p w14:paraId="3876B092" w14:textId="1A73E162" w:rsidR="00285B4D" w:rsidRDefault="00285B4D" w:rsidP="00252B35">
                      <w:pPr>
                        <w:spacing w:after="0"/>
                        <w:ind w:firstLine="720"/>
                        <w:jc w:val="both"/>
                        <w:rPr>
                          <w:i/>
                          <w:iCs/>
                          <w:caps/>
                          <w:color w:val="FFFFFF" w:themeColor="background1"/>
                          <w:sz w:val="28"/>
                        </w:rPr>
                      </w:pPr>
                      <w:r>
                        <w:rPr>
                          <w:i/>
                          <w:iCs/>
                          <w:caps/>
                          <w:color w:val="FFFFFF" w:themeColor="background1"/>
                          <w:sz w:val="28"/>
                        </w:rPr>
                        <w:t xml:space="preserve">(1 ) </w:t>
                      </w:r>
                      <w:r w:rsidR="005D0FC3">
                        <w:rPr>
                          <w:i/>
                          <w:iCs/>
                          <w:caps/>
                          <w:color w:val="FFFFFF" w:themeColor="background1"/>
                          <w:sz w:val="28"/>
                        </w:rPr>
                        <w:t xml:space="preserve"> Section 104(2) </w:t>
                      </w:r>
                      <w:r w:rsidR="00EB237E">
                        <w:rPr>
                          <w:i/>
                          <w:iCs/>
                          <w:caps/>
                          <w:color w:val="FFFFFF" w:themeColor="background1"/>
                          <w:sz w:val="28"/>
                        </w:rPr>
                        <w:t xml:space="preserve">does not create a new cause of action </w:t>
                      </w:r>
                    </w:p>
                    <w:p w14:paraId="6D8231F1" w14:textId="04014933" w:rsidR="00285B4D" w:rsidRDefault="00285B4D" w:rsidP="00252B35">
                      <w:pPr>
                        <w:spacing w:after="0"/>
                        <w:ind w:left="720"/>
                        <w:jc w:val="both"/>
                        <w:rPr>
                          <w:i/>
                          <w:iCs/>
                          <w:caps/>
                          <w:color w:val="FFFFFF" w:themeColor="background1"/>
                          <w:sz w:val="28"/>
                        </w:rPr>
                      </w:pPr>
                      <w:r>
                        <w:rPr>
                          <w:i/>
                          <w:iCs/>
                          <w:caps/>
                          <w:color w:val="FFFFFF" w:themeColor="background1"/>
                          <w:sz w:val="28"/>
                        </w:rPr>
                        <w:t xml:space="preserve">(2) </w:t>
                      </w:r>
                      <w:r w:rsidR="00475399">
                        <w:rPr>
                          <w:i/>
                          <w:iCs/>
                          <w:caps/>
                          <w:color w:val="FFFFFF" w:themeColor="background1"/>
                          <w:sz w:val="28"/>
                        </w:rPr>
                        <w:t>the only people who can claim are those interested in the equity of redemption</w:t>
                      </w:r>
                    </w:p>
                    <w:p w14:paraId="669AF9C1" w14:textId="0403E2F2" w:rsidR="00285B4D" w:rsidRPr="00285B4D" w:rsidRDefault="00285B4D" w:rsidP="00252B35">
                      <w:pPr>
                        <w:spacing w:after="0"/>
                        <w:ind w:firstLine="720"/>
                        <w:jc w:val="both"/>
                        <w:rPr>
                          <w:i/>
                          <w:iCs/>
                          <w:caps/>
                          <w:color w:val="FFFFFF" w:themeColor="background1"/>
                          <w:sz w:val="28"/>
                        </w:rPr>
                      </w:pPr>
                      <w:r>
                        <w:rPr>
                          <w:i/>
                          <w:iCs/>
                          <w:caps/>
                          <w:color w:val="FFFFFF" w:themeColor="background1"/>
                          <w:sz w:val="28"/>
                        </w:rPr>
                        <w:t>(</w:t>
                      </w:r>
                      <w:r w:rsidR="00494809">
                        <w:rPr>
                          <w:i/>
                          <w:iCs/>
                          <w:caps/>
                          <w:color w:val="FFFFFF" w:themeColor="background1"/>
                          <w:sz w:val="28"/>
                        </w:rPr>
                        <w:t xml:space="preserve">3) damages can be awarded on equitable compensation rules  </w:t>
                      </w:r>
                    </w:p>
                  </w:txbxContent>
                </v:textbox>
                <w10:wrap type="square" anchorx="margin"/>
              </v:rect>
            </w:pict>
          </mc:Fallback>
        </mc:AlternateContent>
      </w:r>
      <w:r w:rsidR="005A5C7B">
        <w:rPr>
          <w:rFonts w:ascii="Times New Roman" w:hAnsi="Times New Roman" w:cs="Times New Roman"/>
          <w:sz w:val="24"/>
          <w:szCs w:val="24"/>
        </w:rPr>
        <w:t xml:space="preserve"> </w:t>
      </w:r>
    </w:p>
    <w:p w14:paraId="0AF63D0A" w14:textId="77777777" w:rsidR="003E3577" w:rsidRDefault="003E3577" w:rsidP="006E1943">
      <w:pPr>
        <w:spacing w:line="360" w:lineRule="auto"/>
        <w:jc w:val="both"/>
        <w:rPr>
          <w:rFonts w:ascii="Times New Roman" w:hAnsi="Times New Roman" w:cs="Times New Roman"/>
          <w:b/>
          <w:bCs/>
          <w:sz w:val="24"/>
          <w:szCs w:val="24"/>
        </w:rPr>
      </w:pPr>
    </w:p>
    <w:p w14:paraId="4E9FB7AE" w14:textId="2EF579D3" w:rsidR="003E3577" w:rsidRPr="005A5C7B" w:rsidRDefault="005A5C7B" w:rsidP="006E1943">
      <w:pPr>
        <w:spacing w:line="360" w:lineRule="auto"/>
        <w:jc w:val="both"/>
        <w:rPr>
          <w:rFonts w:ascii="Times New Roman" w:hAnsi="Times New Roman" w:cs="Times New Roman"/>
          <w:b/>
          <w:bCs/>
          <w:sz w:val="24"/>
          <w:szCs w:val="24"/>
        </w:rPr>
      </w:pPr>
      <w:r w:rsidRPr="005A5C7B">
        <w:rPr>
          <w:rFonts w:ascii="Times New Roman" w:hAnsi="Times New Roman" w:cs="Times New Roman"/>
          <w:b/>
          <w:bCs/>
          <w:sz w:val="24"/>
          <w:szCs w:val="24"/>
        </w:rPr>
        <w:t>The</w:t>
      </w:r>
      <w:r w:rsidR="00090F07">
        <w:rPr>
          <w:rFonts w:ascii="Times New Roman" w:hAnsi="Times New Roman" w:cs="Times New Roman"/>
          <w:b/>
          <w:bCs/>
          <w:sz w:val="24"/>
          <w:szCs w:val="24"/>
        </w:rPr>
        <w:t xml:space="preserve"> Lender</w:t>
      </w:r>
      <w:r w:rsidRPr="005A5C7B">
        <w:rPr>
          <w:rFonts w:ascii="Times New Roman" w:hAnsi="Times New Roman" w:cs="Times New Roman"/>
          <w:b/>
          <w:bCs/>
          <w:sz w:val="24"/>
          <w:szCs w:val="24"/>
        </w:rPr>
        <w:t xml:space="preserve">’s Power of Sale </w:t>
      </w:r>
    </w:p>
    <w:p w14:paraId="2DDCD738" w14:textId="084ECAD3" w:rsidR="00593C3C" w:rsidRDefault="005A5C7B" w:rsidP="00593C3C">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remedy which most secure</w:t>
      </w:r>
      <w:r w:rsidR="00103559">
        <w:rPr>
          <w:rFonts w:ascii="Times New Roman" w:hAnsi="Times New Roman" w:cs="Times New Roman"/>
          <w:sz w:val="24"/>
          <w:szCs w:val="24"/>
        </w:rPr>
        <w:t>d</w:t>
      </w:r>
      <w:r>
        <w:rPr>
          <w:rFonts w:ascii="Times New Roman" w:hAnsi="Times New Roman" w:cs="Times New Roman"/>
          <w:sz w:val="24"/>
          <w:szCs w:val="24"/>
        </w:rPr>
        <w:t xml:space="preserve"> lenders will want to exercise i</w:t>
      </w:r>
      <w:r w:rsidR="00103559">
        <w:rPr>
          <w:rFonts w:ascii="Times New Roman" w:hAnsi="Times New Roman" w:cs="Times New Roman"/>
          <w:sz w:val="24"/>
          <w:szCs w:val="24"/>
        </w:rPr>
        <w:t xml:space="preserve">f the customer defaults is to sell the security and recoup its loan, or as much as possible of it, from the proceeds.  </w:t>
      </w:r>
      <w:r w:rsidR="00D17A9F">
        <w:rPr>
          <w:rFonts w:ascii="Times New Roman" w:hAnsi="Times New Roman" w:cs="Times New Roman"/>
          <w:sz w:val="24"/>
          <w:szCs w:val="24"/>
        </w:rPr>
        <w:t xml:space="preserve">The lender’s </w:t>
      </w:r>
      <w:r w:rsidR="00103559">
        <w:rPr>
          <w:rFonts w:ascii="Times New Roman" w:hAnsi="Times New Roman" w:cs="Times New Roman"/>
          <w:sz w:val="24"/>
          <w:szCs w:val="24"/>
        </w:rPr>
        <w:t>statutory power of sale deri</w:t>
      </w:r>
      <w:r w:rsidR="00D17A9F">
        <w:rPr>
          <w:rFonts w:ascii="Times New Roman" w:hAnsi="Times New Roman" w:cs="Times New Roman"/>
          <w:sz w:val="24"/>
          <w:szCs w:val="24"/>
        </w:rPr>
        <w:t>ves</w:t>
      </w:r>
      <w:r w:rsidR="00103559">
        <w:rPr>
          <w:rFonts w:ascii="Times New Roman" w:hAnsi="Times New Roman" w:cs="Times New Roman"/>
          <w:sz w:val="24"/>
          <w:szCs w:val="24"/>
        </w:rPr>
        <w:t xml:space="preserve"> from Law of Property Act 1925 s101, </w:t>
      </w:r>
      <w:r w:rsidR="00D17A9F">
        <w:rPr>
          <w:rFonts w:ascii="Times New Roman" w:hAnsi="Times New Roman" w:cs="Times New Roman"/>
          <w:sz w:val="24"/>
          <w:szCs w:val="24"/>
        </w:rPr>
        <w:t xml:space="preserve">but </w:t>
      </w:r>
      <w:r w:rsidR="00103559">
        <w:rPr>
          <w:rFonts w:ascii="Times New Roman" w:hAnsi="Times New Roman" w:cs="Times New Roman"/>
          <w:sz w:val="24"/>
          <w:szCs w:val="24"/>
        </w:rPr>
        <w:t>there will almost always be restrictions preventing the exercise of that power of sale, before certain conditions are met.</w:t>
      </w:r>
      <w:r w:rsidR="000F697A">
        <w:rPr>
          <w:rFonts w:ascii="Times New Roman" w:hAnsi="Times New Roman" w:cs="Times New Roman"/>
          <w:sz w:val="24"/>
          <w:szCs w:val="24"/>
        </w:rPr>
        <w:t xml:space="preserve">  </w:t>
      </w:r>
      <w:r w:rsidR="00D17A9F">
        <w:rPr>
          <w:rFonts w:ascii="Times New Roman" w:hAnsi="Times New Roman" w:cs="Times New Roman"/>
          <w:sz w:val="24"/>
          <w:szCs w:val="24"/>
        </w:rPr>
        <w:t>If a lender sells the Property before it is entitled to do so</w:t>
      </w:r>
      <w:r w:rsidR="00F6341B">
        <w:rPr>
          <w:rFonts w:ascii="Times New Roman" w:hAnsi="Times New Roman" w:cs="Times New Roman"/>
          <w:sz w:val="24"/>
          <w:szCs w:val="24"/>
        </w:rPr>
        <w:t xml:space="preserve">, </w:t>
      </w:r>
      <w:r w:rsidR="00D17A9F">
        <w:rPr>
          <w:rFonts w:ascii="Times New Roman" w:hAnsi="Times New Roman" w:cs="Times New Roman"/>
          <w:sz w:val="24"/>
          <w:szCs w:val="24"/>
        </w:rPr>
        <w:t>the lender</w:t>
      </w:r>
      <w:r w:rsidR="00FB561E">
        <w:rPr>
          <w:rFonts w:ascii="Times New Roman" w:hAnsi="Times New Roman" w:cs="Times New Roman"/>
          <w:sz w:val="24"/>
          <w:szCs w:val="24"/>
        </w:rPr>
        <w:t>’s act is wrongful.</w:t>
      </w:r>
      <w:r w:rsidR="00F6341B">
        <w:rPr>
          <w:rFonts w:ascii="Times New Roman" w:hAnsi="Times New Roman" w:cs="Times New Roman"/>
          <w:sz w:val="24"/>
          <w:szCs w:val="24"/>
        </w:rPr>
        <w:t xml:space="preserve">  </w:t>
      </w:r>
    </w:p>
    <w:p w14:paraId="05E12038" w14:textId="77777777" w:rsidR="009F0F7F" w:rsidRDefault="009F0F7F" w:rsidP="00593C3C">
      <w:pPr>
        <w:spacing w:line="360" w:lineRule="auto"/>
        <w:jc w:val="both"/>
        <w:rPr>
          <w:rFonts w:ascii="Times New Roman" w:hAnsi="Times New Roman" w:cs="Times New Roman"/>
          <w:sz w:val="24"/>
          <w:szCs w:val="24"/>
        </w:rPr>
      </w:pPr>
    </w:p>
    <w:p w14:paraId="5DD3D60F" w14:textId="01350BBB" w:rsidR="00D376F6" w:rsidRPr="006E1943" w:rsidRDefault="00D376F6" w:rsidP="006E1943">
      <w:pPr>
        <w:spacing w:line="360" w:lineRule="auto"/>
        <w:jc w:val="both"/>
        <w:rPr>
          <w:rFonts w:ascii="Times New Roman" w:hAnsi="Times New Roman" w:cs="Times New Roman"/>
          <w:b/>
          <w:bCs/>
          <w:sz w:val="24"/>
          <w:szCs w:val="24"/>
        </w:rPr>
      </w:pPr>
      <w:r w:rsidRPr="006E1943">
        <w:rPr>
          <w:rFonts w:ascii="Times New Roman" w:hAnsi="Times New Roman" w:cs="Times New Roman"/>
          <w:b/>
          <w:bCs/>
          <w:sz w:val="24"/>
          <w:szCs w:val="24"/>
        </w:rPr>
        <w:t>Section 104(2) of the Law of Property Act 1925</w:t>
      </w:r>
    </w:p>
    <w:p w14:paraId="51543B4E" w14:textId="7B7B3F83" w:rsidR="004C1913" w:rsidRPr="006E1943" w:rsidRDefault="00FB561E"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Section 104(2) provides </w:t>
      </w:r>
      <w:proofErr w:type="gramStart"/>
      <w:r>
        <w:rPr>
          <w:rFonts w:ascii="Times New Roman" w:hAnsi="Times New Roman" w:cs="Times New Roman"/>
          <w:sz w:val="24"/>
          <w:szCs w:val="24"/>
        </w:rPr>
        <w:t>that</w:t>
      </w:r>
      <w:proofErr w:type="gramEnd"/>
      <w:r w:rsidR="004C1913" w:rsidRPr="006E1943">
        <w:rPr>
          <w:rFonts w:ascii="Times New Roman" w:hAnsi="Times New Roman" w:cs="Times New Roman"/>
          <w:sz w:val="24"/>
          <w:szCs w:val="24"/>
        </w:rPr>
        <w:t xml:space="preserve"> </w:t>
      </w:r>
    </w:p>
    <w:p w14:paraId="1A1BF15F" w14:textId="50A7299C" w:rsidR="00593C3C" w:rsidRDefault="00593C3C" w:rsidP="006E1943">
      <w:pPr>
        <w:spacing w:line="360" w:lineRule="auto"/>
        <w:jc w:val="both"/>
        <w:rPr>
          <w:rFonts w:ascii="Times New Roman" w:hAnsi="Times New Roman" w:cs="Times New Roman"/>
          <w:sz w:val="24"/>
          <w:szCs w:val="24"/>
        </w:rPr>
      </w:pPr>
      <w:r w:rsidRPr="00593C3C">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429E0329" wp14:editId="4F35C264">
                <wp:simplePos x="0" y="0"/>
                <wp:positionH relativeFrom="column">
                  <wp:posOffset>571500</wp:posOffset>
                </wp:positionH>
                <wp:positionV relativeFrom="paragraph">
                  <wp:posOffset>9525</wp:posOffset>
                </wp:positionV>
                <wp:extent cx="472440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solidFill>
                            <a:srgbClr val="000000"/>
                          </a:solidFill>
                          <a:miter lim="800000"/>
                          <a:headEnd/>
                          <a:tailEnd/>
                        </a:ln>
                      </wps:spPr>
                      <wps:txbx>
                        <w:txbxContent>
                          <w:p w14:paraId="01F68361" w14:textId="2758CC7F" w:rsidR="00593C3C" w:rsidRDefault="00593C3C" w:rsidP="00593C3C">
                            <w:pPr>
                              <w:spacing w:line="360" w:lineRule="auto"/>
                              <w:jc w:val="both"/>
                            </w:pPr>
                            <w:r>
                              <w:rPr>
                                <w:rFonts w:ascii="Times New Roman" w:hAnsi="Times New Roman" w:cs="Times New Roman"/>
                                <w:b/>
                                <w:bCs/>
                                <w:sz w:val="24"/>
                                <w:szCs w:val="24"/>
                              </w:rPr>
                              <w:t>“</w:t>
                            </w:r>
                            <w:proofErr w:type="gramStart"/>
                            <w:r w:rsidRPr="00FB561E">
                              <w:rPr>
                                <w:rFonts w:ascii="Times New Roman" w:hAnsi="Times New Roman" w:cs="Times New Roman"/>
                                <w:b/>
                                <w:bCs/>
                                <w:sz w:val="24"/>
                                <w:szCs w:val="24"/>
                              </w:rPr>
                              <w:t>any</w:t>
                            </w:r>
                            <w:proofErr w:type="gramEnd"/>
                            <w:r w:rsidRPr="00FB561E">
                              <w:rPr>
                                <w:rFonts w:ascii="Times New Roman" w:hAnsi="Times New Roman" w:cs="Times New Roman"/>
                                <w:b/>
                                <w:bCs/>
                                <w:sz w:val="24"/>
                                <w:szCs w:val="24"/>
                              </w:rPr>
                              <w:t xml:space="preserve"> person </w:t>
                            </w:r>
                            <w:proofErr w:type="spellStart"/>
                            <w:r w:rsidRPr="00FB561E">
                              <w:rPr>
                                <w:rFonts w:ascii="Times New Roman" w:hAnsi="Times New Roman" w:cs="Times New Roman"/>
                                <w:b/>
                                <w:bCs/>
                                <w:sz w:val="24"/>
                                <w:szCs w:val="24"/>
                              </w:rPr>
                              <w:t>damnified</w:t>
                            </w:r>
                            <w:proofErr w:type="spellEnd"/>
                            <w:r w:rsidRPr="006E1943">
                              <w:rPr>
                                <w:rFonts w:ascii="Times New Roman" w:hAnsi="Times New Roman" w:cs="Times New Roman"/>
                                <w:sz w:val="24"/>
                                <w:szCs w:val="24"/>
                              </w:rPr>
                              <w:t xml:space="preserve"> by an unauthorised or improper, or irregular exercise of the power</w:t>
                            </w:r>
                            <w:r w:rsidR="007B07A5">
                              <w:rPr>
                                <w:rFonts w:ascii="Times New Roman" w:hAnsi="Times New Roman" w:cs="Times New Roman"/>
                                <w:sz w:val="24"/>
                                <w:szCs w:val="24"/>
                              </w:rPr>
                              <w:t xml:space="preserve"> </w:t>
                            </w:r>
                            <w:r w:rsidR="00252B35">
                              <w:rPr>
                                <w:rFonts w:ascii="Times New Roman" w:hAnsi="Times New Roman" w:cs="Times New Roman"/>
                                <w:sz w:val="24"/>
                                <w:szCs w:val="24"/>
                              </w:rPr>
                              <w:t xml:space="preserve">[of sale] </w:t>
                            </w:r>
                            <w:r w:rsidRPr="00FB561E">
                              <w:rPr>
                                <w:rFonts w:ascii="Times New Roman" w:hAnsi="Times New Roman" w:cs="Times New Roman"/>
                                <w:b/>
                                <w:bCs/>
                                <w:sz w:val="24"/>
                                <w:szCs w:val="24"/>
                              </w:rPr>
                              <w:t>shall have his remedy in damages against the person exercising the power</w:t>
                            </w:r>
                            <w:r w:rsidRPr="006E1943">
                              <w:rPr>
                                <w:rFonts w:ascii="Times New Roman" w:hAnsi="Times New Roman" w:cs="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E0329" id="_x0000_t202" coordsize="21600,21600" o:spt="202" path="m,l,21600r21600,l21600,xe">
                <v:stroke joinstyle="miter"/>
                <v:path gradientshapeok="t" o:connecttype="rect"/>
              </v:shapetype>
              <v:shape id="Text Box 2" o:spid="_x0000_s1027" type="#_x0000_t202" style="position:absolute;left:0;text-align:left;margin-left:45pt;margin-top:.75pt;width:3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">
                <v:textbox style="mso-fit-shape-to-text:t">
                  <w:txbxContent>
                    <w:p w14:paraId="01F68361" w14:textId="2758CC7F" w:rsidR="00593C3C" w:rsidRDefault="00593C3C" w:rsidP="00593C3C">
                      <w:pPr>
                        <w:spacing w:line="360" w:lineRule="auto"/>
                        <w:jc w:val="both"/>
                      </w:pPr>
                      <w:r>
                        <w:rPr>
                          <w:rFonts w:ascii="Times New Roman" w:hAnsi="Times New Roman" w:cs="Times New Roman"/>
                          <w:b/>
                          <w:bCs/>
                          <w:sz w:val="24"/>
                          <w:szCs w:val="24"/>
                        </w:rPr>
                        <w:t>“</w:t>
                      </w:r>
                      <w:r w:rsidRPr="00FB561E">
                        <w:rPr>
                          <w:rFonts w:ascii="Times New Roman" w:hAnsi="Times New Roman" w:cs="Times New Roman"/>
                          <w:b/>
                          <w:bCs/>
                          <w:sz w:val="24"/>
                          <w:szCs w:val="24"/>
                        </w:rPr>
                        <w:t xml:space="preserve">any person </w:t>
                      </w:r>
                      <w:proofErr w:type="spellStart"/>
                      <w:r w:rsidRPr="00FB561E">
                        <w:rPr>
                          <w:rFonts w:ascii="Times New Roman" w:hAnsi="Times New Roman" w:cs="Times New Roman"/>
                          <w:b/>
                          <w:bCs/>
                          <w:sz w:val="24"/>
                          <w:szCs w:val="24"/>
                        </w:rPr>
                        <w:t>damnified</w:t>
                      </w:r>
                      <w:proofErr w:type="spellEnd"/>
                      <w:r w:rsidRPr="006E1943">
                        <w:rPr>
                          <w:rFonts w:ascii="Times New Roman" w:hAnsi="Times New Roman" w:cs="Times New Roman"/>
                          <w:sz w:val="24"/>
                          <w:szCs w:val="24"/>
                        </w:rPr>
                        <w:t xml:space="preserve"> by an unauthorised or improper, or irregular exercise of the power</w:t>
                      </w:r>
                      <w:r w:rsidR="007B07A5">
                        <w:rPr>
                          <w:rFonts w:ascii="Times New Roman" w:hAnsi="Times New Roman" w:cs="Times New Roman"/>
                          <w:sz w:val="24"/>
                          <w:szCs w:val="24"/>
                        </w:rPr>
                        <w:t xml:space="preserve"> </w:t>
                      </w:r>
                      <w:r w:rsidR="00252B35">
                        <w:rPr>
                          <w:rFonts w:ascii="Times New Roman" w:hAnsi="Times New Roman" w:cs="Times New Roman"/>
                          <w:sz w:val="24"/>
                          <w:szCs w:val="24"/>
                        </w:rPr>
                        <w:t xml:space="preserve">[of sale] </w:t>
                      </w:r>
                      <w:r w:rsidRPr="00FB561E">
                        <w:rPr>
                          <w:rFonts w:ascii="Times New Roman" w:hAnsi="Times New Roman" w:cs="Times New Roman"/>
                          <w:b/>
                          <w:bCs/>
                          <w:sz w:val="24"/>
                          <w:szCs w:val="24"/>
                        </w:rPr>
                        <w:t>shall have his remedy in damages against the person exercising the power</w:t>
                      </w:r>
                      <w:r w:rsidRPr="006E1943">
                        <w:rPr>
                          <w:rFonts w:ascii="Times New Roman" w:hAnsi="Times New Roman" w:cs="Times New Roman"/>
                          <w:sz w:val="24"/>
                          <w:szCs w:val="24"/>
                        </w:rPr>
                        <w:t xml:space="preserve">”. </w:t>
                      </w:r>
                    </w:p>
                  </w:txbxContent>
                </v:textbox>
                <w10:wrap type="square"/>
              </v:shape>
            </w:pict>
          </mc:Fallback>
        </mc:AlternateContent>
      </w:r>
    </w:p>
    <w:p w14:paraId="62D72D24" w14:textId="77777777" w:rsidR="00593C3C" w:rsidRDefault="00593C3C" w:rsidP="006E1943">
      <w:pPr>
        <w:spacing w:line="360" w:lineRule="auto"/>
        <w:jc w:val="both"/>
        <w:rPr>
          <w:rFonts w:ascii="Times New Roman" w:hAnsi="Times New Roman" w:cs="Times New Roman"/>
          <w:sz w:val="24"/>
          <w:szCs w:val="24"/>
        </w:rPr>
      </w:pPr>
    </w:p>
    <w:p w14:paraId="33ADDBD3" w14:textId="77777777" w:rsidR="00593C3C" w:rsidRDefault="00593C3C" w:rsidP="006E1943">
      <w:pPr>
        <w:spacing w:line="360" w:lineRule="auto"/>
        <w:jc w:val="both"/>
        <w:rPr>
          <w:rFonts w:ascii="Times New Roman" w:hAnsi="Times New Roman" w:cs="Times New Roman"/>
          <w:sz w:val="24"/>
          <w:szCs w:val="24"/>
        </w:rPr>
      </w:pPr>
    </w:p>
    <w:p w14:paraId="64E01A1E" w14:textId="77777777" w:rsidR="00593C3C" w:rsidRDefault="00593C3C" w:rsidP="006E1943">
      <w:pPr>
        <w:spacing w:line="360" w:lineRule="auto"/>
        <w:jc w:val="both"/>
        <w:rPr>
          <w:rFonts w:ascii="Times New Roman" w:hAnsi="Times New Roman" w:cs="Times New Roman"/>
          <w:sz w:val="24"/>
          <w:szCs w:val="24"/>
        </w:rPr>
      </w:pPr>
    </w:p>
    <w:p w14:paraId="52AB450F" w14:textId="160DFBAF" w:rsidR="00593C3C" w:rsidRDefault="00593C3C"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provision gives rise to two </w:t>
      </w:r>
      <w:proofErr w:type="gramStart"/>
      <w:r>
        <w:rPr>
          <w:rFonts w:ascii="Times New Roman" w:hAnsi="Times New Roman" w:cs="Times New Roman"/>
          <w:sz w:val="24"/>
          <w:szCs w:val="24"/>
        </w:rPr>
        <w:t>principle</w:t>
      </w:r>
      <w:proofErr w:type="gramEnd"/>
      <w:r>
        <w:rPr>
          <w:rFonts w:ascii="Times New Roman" w:hAnsi="Times New Roman" w:cs="Times New Roman"/>
          <w:sz w:val="24"/>
          <w:szCs w:val="24"/>
        </w:rPr>
        <w:t xml:space="preserve"> questions: </w:t>
      </w:r>
    </w:p>
    <w:p w14:paraId="3AE5D1E5" w14:textId="15EC5DDC" w:rsidR="00593C3C" w:rsidRDefault="00593C3C" w:rsidP="006E1943">
      <w:pPr>
        <w:spacing w:line="360" w:lineRule="auto"/>
        <w:jc w:val="both"/>
        <w:rPr>
          <w:rFonts w:ascii="Times New Roman" w:hAnsi="Times New Roman" w:cs="Times New Roman"/>
          <w:sz w:val="24"/>
          <w:szCs w:val="24"/>
        </w:rPr>
      </w:pPr>
      <w:r w:rsidRPr="00593C3C">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6B71C0F0" wp14:editId="60F7D28C">
                <wp:simplePos x="0" y="0"/>
                <wp:positionH relativeFrom="column">
                  <wp:posOffset>533400</wp:posOffset>
                </wp:positionH>
                <wp:positionV relativeFrom="paragraph">
                  <wp:posOffset>15875</wp:posOffset>
                </wp:positionV>
                <wp:extent cx="4752975" cy="657225"/>
                <wp:effectExtent l="0" t="0" r="28575" b="28575"/>
                <wp:wrapSquare wrapText="bothSides"/>
                <wp:docPr id="448747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7225"/>
                        </a:xfrm>
                        <a:prstGeom prst="rect">
                          <a:avLst/>
                        </a:prstGeom>
                        <a:solidFill>
                          <a:srgbClr val="FFFFFF"/>
                        </a:solidFill>
                        <a:ln w="9525">
                          <a:solidFill>
                            <a:srgbClr val="000000"/>
                          </a:solidFill>
                          <a:miter lim="800000"/>
                          <a:headEnd/>
                          <a:tailEnd/>
                        </a:ln>
                      </wps:spPr>
                      <wps:txbx>
                        <w:txbxContent>
                          <w:p w14:paraId="470B8F63" w14:textId="5335606F" w:rsidR="00593C3C" w:rsidRDefault="00475399" w:rsidP="00593C3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 is </w:t>
                            </w:r>
                            <w:r w:rsidR="00A81BAF">
                              <w:rPr>
                                <w:rFonts w:ascii="Times New Roman" w:hAnsi="Times New Roman" w:cs="Times New Roman"/>
                                <w:sz w:val="24"/>
                                <w:szCs w:val="24"/>
                              </w:rPr>
                              <w:t xml:space="preserve">within </w:t>
                            </w:r>
                            <w:r w:rsidR="00593C3C" w:rsidRPr="00593C3C">
                              <w:rPr>
                                <w:rFonts w:ascii="Times New Roman" w:hAnsi="Times New Roman" w:cs="Times New Roman"/>
                                <w:sz w:val="24"/>
                                <w:szCs w:val="24"/>
                              </w:rPr>
                              <w:t xml:space="preserve">the </w:t>
                            </w:r>
                            <w:r w:rsidR="00A81BAF">
                              <w:rPr>
                                <w:rFonts w:ascii="Times New Roman" w:hAnsi="Times New Roman" w:cs="Times New Roman"/>
                                <w:sz w:val="24"/>
                                <w:szCs w:val="24"/>
                              </w:rPr>
                              <w:t xml:space="preserve">class </w:t>
                            </w:r>
                            <w:r w:rsidR="00593C3C" w:rsidRPr="00593C3C">
                              <w:rPr>
                                <w:rFonts w:ascii="Times New Roman" w:hAnsi="Times New Roman" w:cs="Times New Roman"/>
                                <w:sz w:val="24"/>
                                <w:szCs w:val="24"/>
                              </w:rPr>
                              <w:t xml:space="preserve">‘any person </w:t>
                            </w:r>
                            <w:proofErr w:type="spellStart"/>
                            <w:r w:rsidR="00593C3C" w:rsidRPr="00593C3C">
                              <w:rPr>
                                <w:rFonts w:ascii="Times New Roman" w:hAnsi="Times New Roman" w:cs="Times New Roman"/>
                                <w:sz w:val="24"/>
                                <w:szCs w:val="24"/>
                              </w:rPr>
                              <w:t>damnified</w:t>
                            </w:r>
                            <w:proofErr w:type="spellEnd"/>
                            <w:r w:rsidR="00593C3C" w:rsidRPr="00593C3C">
                              <w:rPr>
                                <w:rFonts w:ascii="Times New Roman" w:hAnsi="Times New Roman" w:cs="Times New Roman"/>
                                <w:sz w:val="24"/>
                                <w:szCs w:val="24"/>
                              </w:rPr>
                              <w:t>’</w:t>
                            </w:r>
                            <w:r w:rsidR="00593C3C">
                              <w:rPr>
                                <w:rFonts w:ascii="Times New Roman" w:hAnsi="Times New Roman" w:cs="Times New Roman"/>
                                <w:sz w:val="24"/>
                                <w:szCs w:val="24"/>
                              </w:rPr>
                              <w:t xml:space="preserve">; and </w:t>
                            </w:r>
                          </w:p>
                          <w:p w14:paraId="2188B41D" w14:textId="77777777" w:rsidR="00593C3C" w:rsidRDefault="00593C3C" w:rsidP="00593C3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593C3C">
                              <w:rPr>
                                <w:rFonts w:ascii="Times New Roman" w:hAnsi="Times New Roman" w:cs="Times New Roman"/>
                                <w:sz w:val="24"/>
                                <w:szCs w:val="24"/>
                              </w:rPr>
                              <w:t xml:space="preserve">ow should damages be quantified? </w:t>
                            </w:r>
                            <w:r>
                              <w:rPr>
                                <w:rFonts w:ascii="Times New Roman" w:hAnsi="Times New Roman" w:cs="Times New Roman"/>
                                <w:sz w:val="24"/>
                                <w:szCs w:val="24"/>
                              </w:rPr>
                              <w:t xml:space="preserve"> </w:t>
                            </w:r>
                          </w:p>
                          <w:p w14:paraId="7AF2554F" w14:textId="38F7CE83" w:rsidR="00593C3C" w:rsidRDefault="00593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C0F0" id="_x0000_s1028" type="#_x0000_t202" style="position:absolute;left:0;text-align:left;margin-left:42pt;margin-top:1.25pt;width:374.25pt;height:5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">
                <v:textbox>
                  <w:txbxContent>
                    <w:p w14:paraId="470B8F63" w14:textId="5335606F" w:rsidR="00593C3C" w:rsidRDefault="00475399" w:rsidP="00593C3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 is </w:t>
                      </w:r>
                      <w:r w:rsidR="00A81BAF">
                        <w:rPr>
                          <w:rFonts w:ascii="Times New Roman" w:hAnsi="Times New Roman" w:cs="Times New Roman"/>
                          <w:sz w:val="24"/>
                          <w:szCs w:val="24"/>
                        </w:rPr>
                        <w:t xml:space="preserve">within </w:t>
                      </w:r>
                      <w:r w:rsidR="00593C3C" w:rsidRPr="00593C3C">
                        <w:rPr>
                          <w:rFonts w:ascii="Times New Roman" w:hAnsi="Times New Roman" w:cs="Times New Roman"/>
                          <w:sz w:val="24"/>
                          <w:szCs w:val="24"/>
                        </w:rPr>
                        <w:t xml:space="preserve">the </w:t>
                      </w:r>
                      <w:r w:rsidR="00A81BAF">
                        <w:rPr>
                          <w:rFonts w:ascii="Times New Roman" w:hAnsi="Times New Roman" w:cs="Times New Roman"/>
                          <w:sz w:val="24"/>
                          <w:szCs w:val="24"/>
                        </w:rPr>
                        <w:t xml:space="preserve">class </w:t>
                      </w:r>
                      <w:r w:rsidR="00593C3C" w:rsidRPr="00593C3C">
                        <w:rPr>
                          <w:rFonts w:ascii="Times New Roman" w:hAnsi="Times New Roman" w:cs="Times New Roman"/>
                          <w:sz w:val="24"/>
                          <w:szCs w:val="24"/>
                        </w:rPr>
                        <w:t xml:space="preserve">‘any person </w:t>
                      </w:r>
                      <w:proofErr w:type="spellStart"/>
                      <w:r w:rsidR="00593C3C" w:rsidRPr="00593C3C">
                        <w:rPr>
                          <w:rFonts w:ascii="Times New Roman" w:hAnsi="Times New Roman" w:cs="Times New Roman"/>
                          <w:sz w:val="24"/>
                          <w:szCs w:val="24"/>
                        </w:rPr>
                        <w:t>damnified</w:t>
                      </w:r>
                      <w:proofErr w:type="spellEnd"/>
                      <w:r w:rsidR="00593C3C" w:rsidRPr="00593C3C">
                        <w:rPr>
                          <w:rFonts w:ascii="Times New Roman" w:hAnsi="Times New Roman" w:cs="Times New Roman"/>
                          <w:sz w:val="24"/>
                          <w:szCs w:val="24"/>
                        </w:rPr>
                        <w:t>’</w:t>
                      </w:r>
                      <w:r w:rsidR="00593C3C">
                        <w:rPr>
                          <w:rFonts w:ascii="Times New Roman" w:hAnsi="Times New Roman" w:cs="Times New Roman"/>
                          <w:sz w:val="24"/>
                          <w:szCs w:val="24"/>
                        </w:rPr>
                        <w:t xml:space="preserve">; and </w:t>
                      </w:r>
                    </w:p>
                    <w:p w14:paraId="2188B41D" w14:textId="77777777" w:rsidR="00593C3C" w:rsidRDefault="00593C3C" w:rsidP="00593C3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593C3C">
                        <w:rPr>
                          <w:rFonts w:ascii="Times New Roman" w:hAnsi="Times New Roman" w:cs="Times New Roman"/>
                          <w:sz w:val="24"/>
                          <w:szCs w:val="24"/>
                        </w:rPr>
                        <w:t xml:space="preserve">ow should damages be quantified? </w:t>
                      </w:r>
                      <w:r>
                        <w:rPr>
                          <w:rFonts w:ascii="Times New Roman" w:hAnsi="Times New Roman" w:cs="Times New Roman"/>
                          <w:sz w:val="24"/>
                          <w:szCs w:val="24"/>
                        </w:rPr>
                        <w:t xml:space="preserve"> </w:t>
                      </w:r>
                    </w:p>
                    <w:p w14:paraId="7AF2554F" w14:textId="38F7CE83" w:rsidR="00593C3C" w:rsidRDefault="00593C3C"/>
                  </w:txbxContent>
                </v:textbox>
                <w10:wrap type="square"/>
              </v:shape>
            </w:pict>
          </mc:Fallback>
        </mc:AlternateContent>
      </w:r>
    </w:p>
    <w:p w14:paraId="551433C8" w14:textId="66FD13C5" w:rsidR="00593C3C" w:rsidRDefault="00593C3C" w:rsidP="006E1943">
      <w:pPr>
        <w:spacing w:line="360" w:lineRule="auto"/>
        <w:jc w:val="both"/>
        <w:rPr>
          <w:rFonts w:ascii="Times New Roman" w:hAnsi="Times New Roman" w:cs="Times New Roman"/>
          <w:sz w:val="24"/>
          <w:szCs w:val="24"/>
        </w:rPr>
      </w:pPr>
    </w:p>
    <w:p w14:paraId="23CEB6C8" w14:textId="182133CD" w:rsidR="00593C3C" w:rsidRPr="00593C3C" w:rsidRDefault="00593C3C" w:rsidP="00593C3C">
      <w:pPr>
        <w:spacing w:line="360" w:lineRule="auto"/>
        <w:ind w:left="360"/>
        <w:jc w:val="both"/>
        <w:rPr>
          <w:rFonts w:ascii="Times New Roman" w:hAnsi="Times New Roman" w:cs="Times New Roman"/>
          <w:sz w:val="24"/>
          <w:szCs w:val="24"/>
        </w:rPr>
      </w:pPr>
      <w:r w:rsidRPr="00593C3C">
        <w:rPr>
          <w:rFonts w:ascii="Times New Roman" w:hAnsi="Times New Roman" w:cs="Times New Roman"/>
          <w:sz w:val="24"/>
          <w:szCs w:val="24"/>
        </w:rPr>
        <w:t xml:space="preserve"> </w:t>
      </w:r>
    </w:p>
    <w:p w14:paraId="1020CFF3" w14:textId="5C022098" w:rsidR="00593C3C" w:rsidRDefault="00200D97" w:rsidP="00593C3C">
      <w:pPr>
        <w:spacing w:line="360" w:lineRule="auto"/>
        <w:jc w:val="both"/>
        <w:rPr>
          <w:rFonts w:ascii="Times New Roman" w:hAnsi="Times New Roman" w:cs="Times New Roman"/>
          <w:sz w:val="24"/>
          <w:szCs w:val="24"/>
        </w:rPr>
      </w:pPr>
      <w:r w:rsidRPr="00593C3C">
        <w:rPr>
          <w:rFonts w:ascii="Times New Roman" w:hAnsi="Times New Roman" w:cs="Times New Roman"/>
          <w:sz w:val="24"/>
          <w:szCs w:val="24"/>
        </w:rPr>
        <w:t>No guidance is given in the statute</w:t>
      </w:r>
      <w:r w:rsidR="00B86315" w:rsidRPr="00593C3C">
        <w:rPr>
          <w:rFonts w:ascii="Times New Roman" w:hAnsi="Times New Roman" w:cs="Times New Roman"/>
          <w:sz w:val="24"/>
          <w:szCs w:val="24"/>
        </w:rPr>
        <w:t xml:space="preserve"> </w:t>
      </w:r>
      <w:r w:rsidR="002928CA">
        <w:rPr>
          <w:rFonts w:ascii="Times New Roman" w:hAnsi="Times New Roman" w:cs="Times New Roman"/>
          <w:sz w:val="24"/>
          <w:szCs w:val="24"/>
        </w:rPr>
        <w:t>(</w:t>
      </w:r>
      <w:r w:rsidR="00B86315" w:rsidRPr="00593C3C">
        <w:rPr>
          <w:rFonts w:ascii="Times New Roman" w:hAnsi="Times New Roman" w:cs="Times New Roman"/>
          <w:sz w:val="24"/>
          <w:szCs w:val="24"/>
        </w:rPr>
        <w:t>or in the previous statutes</w:t>
      </w:r>
      <w:r w:rsidR="008331C5">
        <w:rPr>
          <w:rFonts w:ascii="Times New Roman" w:hAnsi="Times New Roman" w:cs="Times New Roman"/>
          <w:sz w:val="24"/>
          <w:szCs w:val="24"/>
        </w:rPr>
        <w:t xml:space="preserve"> from which it was derived</w:t>
      </w:r>
      <w:r w:rsidR="002928CA">
        <w:rPr>
          <w:rFonts w:ascii="Times New Roman" w:hAnsi="Times New Roman" w:cs="Times New Roman"/>
          <w:sz w:val="24"/>
          <w:szCs w:val="24"/>
        </w:rPr>
        <w:t>)</w:t>
      </w:r>
      <w:r w:rsidR="00593C3C">
        <w:rPr>
          <w:rFonts w:ascii="Times New Roman" w:hAnsi="Times New Roman" w:cs="Times New Roman"/>
          <w:sz w:val="24"/>
          <w:szCs w:val="24"/>
        </w:rPr>
        <w:t xml:space="preserve"> about the answers to these questions</w:t>
      </w:r>
      <w:r w:rsidR="00D5146D">
        <w:rPr>
          <w:rFonts w:ascii="Times New Roman" w:hAnsi="Times New Roman" w:cs="Times New Roman"/>
          <w:sz w:val="24"/>
          <w:szCs w:val="24"/>
        </w:rPr>
        <w:t>.  It is therefore necessary to approach the matter from first principles, with such assistance as is available from the authorities.</w:t>
      </w:r>
      <w:r w:rsidR="00BF55A8">
        <w:rPr>
          <w:rFonts w:ascii="Times New Roman" w:hAnsi="Times New Roman" w:cs="Times New Roman"/>
          <w:sz w:val="24"/>
          <w:szCs w:val="24"/>
        </w:rPr>
        <w:t xml:space="preserve">  Any question of statutory interpretation requires </w:t>
      </w:r>
      <w:r w:rsidR="00F83E27">
        <w:rPr>
          <w:rFonts w:ascii="Times New Roman" w:hAnsi="Times New Roman" w:cs="Times New Roman"/>
          <w:sz w:val="24"/>
          <w:szCs w:val="24"/>
        </w:rPr>
        <w:t>a consideration of the natural meaning of the words used</w:t>
      </w:r>
      <w:r w:rsidR="0001636A">
        <w:rPr>
          <w:rFonts w:ascii="Times New Roman" w:hAnsi="Times New Roman" w:cs="Times New Roman"/>
          <w:sz w:val="24"/>
          <w:szCs w:val="24"/>
        </w:rPr>
        <w:t xml:space="preserve">, the legislative scheme as a whole and the legal context in which the statute was enacted.  </w:t>
      </w:r>
      <w:r w:rsidR="00D5146D">
        <w:rPr>
          <w:rFonts w:ascii="Times New Roman" w:hAnsi="Times New Roman" w:cs="Times New Roman"/>
          <w:sz w:val="24"/>
          <w:szCs w:val="24"/>
        </w:rPr>
        <w:t xml:space="preserve">  </w:t>
      </w:r>
      <w:r w:rsidR="002928CA">
        <w:rPr>
          <w:rFonts w:ascii="Times New Roman" w:hAnsi="Times New Roman" w:cs="Times New Roman"/>
          <w:sz w:val="24"/>
          <w:szCs w:val="24"/>
        </w:rPr>
        <w:t xml:space="preserve"> </w:t>
      </w:r>
      <w:r w:rsidR="00593C3C">
        <w:rPr>
          <w:rFonts w:ascii="Times New Roman" w:hAnsi="Times New Roman" w:cs="Times New Roman"/>
          <w:sz w:val="24"/>
          <w:szCs w:val="24"/>
        </w:rPr>
        <w:t xml:space="preserve">  </w:t>
      </w:r>
    </w:p>
    <w:p w14:paraId="19E5E2C2" w14:textId="77777777" w:rsidR="000F697A" w:rsidRDefault="000F697A" w:rsidP="00593C3C">
      <w:pPr>
        <w:spacing w:line="360" w:lineRule="auto"/>
        <w:jc w:val="both"/>
        <w:rPr>
          <w:rFonts w:ascii="Times New Roman" w:hAnsi="Times New Roman" w:cs="Times New Roman"/>
          <w:sz w:val="24"/>
          <w:szCs w:val="24"/>
        </w:rPr>
      </w:pPr>
    </w:p>
    <w:p w14:paraId="7846849F" w14:textId="645F4D22" w:rsidR="000F697A" w:rsidRPr="000F697A" w:rsidRDefault="000F697A" w:rsidP="00593C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 new cause of action?</w:t>
      </w:r>
    </w:p>
    <w:p w14:paraId="09141D6C" w14:textId="02F9E0EF" w:rsidR="0005582D" w:rsidRDefault="008E423C" w:rsidP="000F69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sensible </w:t>
      </w:r>
      <w:r w:rsidR="00616A7F">
        <w:rPr>
          <w:rFonts w:ascii="Times New Roman" w:hAnsi="Times New Roman" w:cs="Times New Roman"/>
          <w:sz w:val="24"/>
          <w:szCs w:val="24"/>
        </w:rPr>
        <w:t xml:space="preserve">starting point </w:t>
      </w:r>
      <w:r>
        <w:rPr>
          <w:rFonts w:ascii="Times New Roman" w:hAnsi="Times New Roman" w:cs="Times New Roman"/>
          <w:sz w:val="24"/>
          <w:szCs w:val="24"/>
        </w:rPr>
        <w:t xml:space="preserve">is </w:t>
      </w:r>
      <w:r w:rsidR="00616A7F">
        <w:rPr>
          <w:rFonts w:ascii="Times New Roman" w:hAnsi="Times New Roman" w:cs="Times New Roman"/>
          <w:sz w:val="24"/>
          <w:szCs w:val="24"/>
        </w:rPr>
        <w:t xml:space="preserve">to determine </w:t>
      </w:r>
      <w:r>
        <w:rPr>
          <w:rFonts w:ascii="Times New Roman" w:hAnsi="Times New Roman" w:cs="Times New Roman"/>
          <w:sz w:val="24"/>
          <w:szCs w:val="24"/>
        </w:rPr>
        <w:t>the legal context</w:t>
      </w:r>
      <w:r w:rsidR="00616A7F">
        <w:rPr>
          <w:rFonts w:ascii="Times New Roman" w:hAnsi="Times New Roman" w:cs="Times New Roman"/>
          <w:sz w:val="24"/>
          <w:szCs w:val="24"/>
        </w:rPr>
        <w:t xml:space="preserve">.  </w:t>
      </w:r>
      <w:r w:rsidR="000F697A">
        <w:rPr>
          <w:rFonts w:ascii="Times New Roman" w:hAnsi="Times New Roman" w:cs="Times New Roman"/>
          <w:sz w:val="24"/>
          <w:szCs w:val="24"/>
        </w:rPr>
        <w:t xml:space="preserve">Although </w:t>
      </w:r>
      <w:r w:rsidR="00693194">
        <w:rPr>
          <w:rFonts w:ascii="Times New Roman" w:hAnsi="Times New Roman" w:cs="Times New Roman"/>
          <w:sz w:val="24"/>
          <w:szCs w:val="24"/>
        </w:rPr>
        <w:t xml:space="preserve">this </w:t>
      </w:r>
      <w:r w:rsidR="000F697A">
        <w:rPr>
          <w:rFonts w:ascii="Times New Roman" w:hAnsi="Times New Roman" w:cs="Times New Roman"/>
          <w:sz w:val="24"/>
          <w:szCs w:val="24"/>
        </w:rPr>
        <w:t xml:space="preserve">has not been the subject of any authority in the English Courts, the Australian Courts determined </w:t>
      </w:r>
      <w:r w:rsidR="00104D82">
        <w:rPr>
          <w:rFonts w:ascii="Times New Roman" w:hAnsi="Times New Roman" w:cs="Times New Roman"/>
          <w:sz w:val="24"/>
          <w:szCs w:val="24"/>
        </w:rPr>
        <w:t xml:space="preserve">as long ago as 1935, </w:t>
      </w:r>
      <w:r w:rsidR="0005582D">
        <w:rPr>
          <w:rFonts w:ascii="Times New Roman" w:hAnsi="Times New Roman" w:cs="Times New Roman"/>
          <w:sz w:val="24"/>
          <w:szCs w:val="24"/>
        </w:rPr>
        <w:t xml:space="preserve">in </w:t>
      </w:r>
      <w:r w:rsidR="0005582D" w:rsidRPr="0005582D">
        <w:rPr>
          <w:rFonts w:ascii="Times New Roman" w:hAnsi="Times New Roman" w:cs="Times New Roman"/>
          <w:i/>
          <w:iCs/>
          <w:sz w:val="24"/>
          <w:szCs w:val="24"/>
        </w:rPr>
        <w:t>McGinnis v Union Bank of Australia Ltd</w:t>
      </w:r>
      <w:r w:rsidR="0005582D" w:rsidRPr="0005582D">
        <w:rPr>
          <w:rFonts w:ascii="Times New Roman" w:hAnsi="Times New Roman" w:cs="Times New Roman"/>
          <w:sz w:val="24"/>
          <w:szCs w:val="24"/>
        </w:rPr>
        <w:t xml:space="preserve"> [1935] VLR </w:t>
      </w:r>
      <w:proofErr w:type="gramStart"/>
      <w:r w:rsidR="0005582D" w:rsidRPr="0005582D">
        <w:rPr>
          <w:rFonts w:ascii="Times New Roman" w:hAnsi="Times New Roman" w:cs="Times New Roman"/>
          <w:sz w:val="24"/>
          <w:szCs w:val="24"/>
        </w:rPr>
        <w:t>161</w:t>
      </w:r>
      <w:r w:rsidR="00104D82">
        <w:rPr>
          <w:rFonts w:ascii="Times New Roman" w:hAnsi="Times New Roman" w:cs="Times New Roman"/>
          <w:sz w:val="24"/>
          <w:szCs w:val="24"/>
        </w:rPr>
        <w:t xml:space="preserve">, </w:t>
      </w:r>
      <w:r w:rsidR="000F697A">
        <w:rPr>
          <w:rFonts w:ascii="Times New Roman" w:hAnsi="Times New Roman" w:cs="Times New Roman"/>
          <w:sz w:val="24"/>
          <w:szCs w:val="24"/>
        </w:rPr>
        <w:t xml:space="preserve"> that</w:t>
      </w:r>
      <w:proofErr w:type="gramEnd"/>
      <w:r w:rsidR="000F697A">
        <w:rPr>
          <w:rFonts w:ascii="Times New Roman" w:hAnsi="Times New Roman" w:cs="Times New Roman"/>
          <w:sz w:val="24"/>
          <w:szCs w:val="24"/>
        </w:rPr>
        <w:t xml:space="preserve"> </w:t>
      </w:r>
    </w:p>
    <w:p w14:paraId="56E23EA2" w14:textId="77777777" w:rsidR="0005582D" w:rsidRDefault="000F697A" w:rsidP="0005582D">
      <w:pPr>
        <w:pStyle w:val="ListParagraph"/>
        <w:numPr>
          <w:ilvl w:val="0"/>
          <w:numId w:val="5"/>
        </w:numPr>
        <w:spacing w:line="360" w:lineRule="auto"/>
        <w:jc w:val="both"/>
        <w:rPr>
          <w:rFonts w:ascii="Times New Roman" w:hAnsi="Times New Roman" w:cs="Times New Roman"/>
          <w:sz w:val="24"/>
          <w:szCs w:val="24"/>
        </w:rPr>
      </w:pPr>
      <w:r w:rsidRPr="0005582D">
        <w:rPr>
          <w:rFonts w:ascii="Times New Roman" w:hAnsi="Times New Roman" w:cs="Times New Roman"/>
          <w:sz w:val="24"/>
          <w:szCs w:val="24"/>
        </w:rPr>
        <w:t xml:space="preserve">prior to any statutory intervention, the Courts of Equity would have directed the lender to account </w:t>
      </w:r>
      <w:proofErr w:type="gramStart"/>
      <w:r w:rsidRPr="0005582D">
        <w:rPr>
          <w:rFonts w:ascii="Times New Roman" w:hAnsi="Times New Roman" w:cs="Times New Roman"/>
          <w:sz w:val="24"/>
          <w:szCs w:val="24"/>
        </w:rPr>
        <w:t>on the basis of</w:t>
      </w:r>
      <w:proofErr w:type="gramEnd"/>
      <w:r w:rsidRPr="0005582D">
        <w:rPr>
          <w:rFonts w:ascii="Times New Roman" w:hAnsi="Times New Roman" w:cs="Times New Roman"/>
          <w:sz w:val="24"/>
          <w:szCs w:val="24"/>
        </w:rPr>
        <w:t xml:space="preserve"> wilful default</w:t>
      </w:r>
      <w:r w:rsidR="00AF29C1" w:rsidRPr="0005582D">
        <w:rPr>
          <w:rFonts w:ascii="Times New Roman" w:hAnsi="Times New Roman" w:cs="Times New Roman"/>
          <w:sz w:val="24"/>
          <w:szCs w:val="24"/>
        </w:rPr>
        <w:t xml:space="preserve"> i</w:t>
      </w:r>
      <w:r w:rsidR="00EF55E7" w:rsidRPr="0005582D">
        <w:rPr>
          <w:rFonts w:ascii="Times New Roman" w:hAnsi="Times New Roman" w:cs="Times New Roman"/>
          <w:sz w:val="24"/>
          <w:szCs w:val="24"/>
        </w:rPr>
        <w:t>f it sold the security</w:t>
      </w:r>
      <w:r w:rsidR="0005582D" w:rsidRPr="0005582D">
        <w:rPr>
          <w:rFonts w:ascii="Times New Roman" w:hAnsi="Times New Roman" w:cs="Times New Roman"/>
          <w:sz w:val="24"/>
          <w:szCs w:val="24"/>
        </w:rPr>
        <w:t xml:space="preserve"> before any right to do so had arisen</w:t>
      </w:r>
      <w:r w:rsidR="0005582D">
        <w:rPr>
          <w:rFonts w:ascii="Times New Roman" w:hAnsi="Times New Roman" w:cs="Times New Roman"/>
          <w:sz w:val="24"/>
          <w:szCs w:val="24"/>
        </w:rPr>
        <w:t>;</w:t>
      </w:r>
      <w:r w:rsidR="00AF29C1" w:rsidRPr="0005582D">
        <w:rPr>
          <w:rFonts w:ascii="Times New Roman" w:hAnsi="Times New Roman" w:cs="Times New Roman"/>
          <w:sz w:val="24"/>
          <w:szCs w:val="24"/>
        </w:rPr>
        <w:t xml:space="preserve"> and </w:t>
      </w:r>
    </w:p>
    <w:p w14:paraId="097EE29B" w14:textId="56E05169" w:rsidR="008331C5" w:rsidRDefault="00AF29C1" w:rsidP="008331C5">
      <w:pPr>
        <w:pStyle w:val="ListParagraph"/>
        <w:numPr>
          <w:ilvl w:val="0"/>
          <w:numId w:val="5"/>
        </w:numPr>
        <w:spacing w:line="360" w:lineRule="auto"/>
        <w:jc w:val="both"/>
        <w:rPr>
          <w:rFonts w:ascii="Times New Roman" w:hAnsi="Times New Roman" w:cs="Times New Roman"/>
          <w:sz w:val="24"/>
          <w:szCs w:val="24"/>
        </w:rPr>
      </w:pPr>
      <w:r w:rsidRPr="0005582D">
        <w:rPr>
          <w:rFonts w:ascii="Times New Roman" w:hAnsi="Times New Roman" w:cs="Times New Roman"/>
          <w:sz w:val="24"/>
          <w:szCs w:val="24"/>
        </w:rPr>
        <w:t>that a very similar provision in the Transfer of Land Act 1916 section</w:t>
      </w:r>
      <w:r w:rsidR="00D44623" w:rsidRPr="0005582D">
        <w:rPr>
          <w:rFonts w:ascii="Times New Roman" w:hAnsi="Times New Roman" w:cs="Times New Roman"/>
          <w:sz w:val="24"/>
          <w:szCs w:val="24"/>
        </w:rPr>
        <w:t xml:space="preserve"> </w:t>
      </w:r>
      <w:r w:rsidRPr="0005582D">
        <w:rPr>
          <w:rFonts w:ascii="Times New Roman" w:hAnsi="Times New Roman" w:cs="Times New Roman"/>
          <w:sz w:val="24"/>
          <w:szCs w:val="24"/>
        </w:rPr>
        <w:t xml:space="preserve">9(b) </w:t>
      </w:r>
      <w:r w:rsidR="00DB1362" w:rsidRPr="0005582D">
        <w:rPr>
          <w:rFonts w:ascii="Times New Roman" w:hAnsi="Times New Roman" w:cs="Times New Roman"/>
          <w:sz w:val="24"/>
          <w:szCs w:val="24"/>
        </w:rPr>
        <w:t>did not create a new cause of action</w:t>
      </w:r>
      <w:r w:rsidR="008331C5">
        <w:rPr>
          <w:rFonts w:ascii="Times New Roman" w:hAnsi="Times New Roman" w:cs="Times New Roman"/>
          <w:sz w:val="24"/>
          <w:szCs w:val="24"/>
        </w:rPr>
        <w:t xml:space="preserve">.  </w:t>
      </w:r>
    </w:p>
    <w:p w14:paraId="01138851" w14:textId="694EA78E" w:rsidR="000F697A" w:rsidRPr="008331C5" w:rsidRDefault="00402C72" w:rsidP="008331C5">
      <w:pPr>
        <w:spacing w:line="360" w:lineRule="auto"/>
        <w:ind w:left="360"/>
        <w:jc w:val="both"/>
        <w:rPr>
          <w:rFonts w:ascii="Times New Roman" w:hAnsi="Times New Roman" w:cs="Times New Roman"/>
          <w:sz w:val="24"/>
          <w:szCs w:val="24"/>
        </w:rPr>
      </w:pPr>
      <w:r w:rsidRPr="008331C5">
        <w:rPr>
          <w:rFonts w:ascii="Times New Roman" w:hAnsi="Times New Roman" w:cs="Times New Roman"/>
          <w:sz w:val="24"/>
          <w:szCs w:val="24"/>
        </w:rPr>
        <w:t xml:space="preserve">We consider it likely that an English Court would adopt the same approach.  </w:t>
      </w:r>
      <w:r w:rsidR="000F697A" w:rsidRPr="008331C5">
        <w:rPr>
          <w:rFonts w:ascii="Times New Roman" w:hAnsi="Times New Roman" w:cs="Times New Roman"/>
          <w:sz w:val="24"/>
          <w:szCs w:val="24"/>
        </w:rPr>
        <w:t>On this basis, the wording of the provision merely clarifies that the mortgagor retains a remedy</w:t>
      </w:r>
      <w:r w:rsidR="00460BD4" w:rsidRPr="008331C5">
        <w:rPr>
          <w:rFonts w:ascii="Times New Roman" w:hAnsi="Times New Roman" w:cs="Times New Roman"/>
          <w:sz w:val="24"/>
          <w:szCs w:val="24"/>
        </w:rPr>
        <w:t xml:space="preserve"> in the event of a wrongful sale</w:t>
      </w:r>
      <w:r w:rsidR="000F697A" w:rsidRPr="008331C5">
        <w:rPr>
          <w:rFonts w:ascii="Times New Roman" w:hAnsi="Times New Roman" w:cs="Times New Roman"/>
          <w:sz w:val="24"/>
          <w:szCs w:val="24"/>
        </w:rPr>
        <w:t>, notwithstanding that the purchaser will get good titl</w:t>
      </w:r>
      <w:r w:rsidR="00D44623" w:rsidRPr="008331C5">
        <w:rPr>
          <w:rFonts w:ascii="Times New Roman" w:hAnsi="Times New Roman" w:cs="Times New Roman"/>
          <w:sz w:val="24"/>
          <w:szCs w:val="24"/>
        </w:rPr>
        <w:t xml:space="preserve">e. </w:t>
      </w:r>
      <w:r w:rsidR="00FE45DD" w:rsidRPr="008331C5">
        <w:rPr>
          <w:rFonts w:ascii="Times New Roman" w:hAnsi="Times New Roman" w:cs="Times New Roman"/>
          <w:sz w:val="24"/>
          <w:szCs w:val="24"/>
        </w:rPr>
        <w:t xml:space="preserve"> </w:t>
      </w:r>
      <w:r w:rsidR="00EC34E5" w:rsidRPr="008331C5">
        <w:rPr>
          <w:rFonts w:ascii="Times New Roman" w:hAnsi="Times New Roman" w:cs="Times New Roman"/>
          <w:sz w:val="24"/>
          <w:szCs w:val="24"/>
        </w:rPr>
        <w:t xml:space="preserve">This sheds a good deal of light on the </w:t>
      </w:r>
      <w:r w:rsidR="00BF0575" w:rsidRPr="008331C5">
        <w:rPr>
          <w:rFonts w:ascii="Times New Roman" w:hAnsi="Times New Roman" w:cs="Times New Roman"/>
          <w:sz w:val="24"/>
          <w:szCs w:val="24"/>
        </w:rPr>
        <w:t xml:space="preserve">answer to the two questions </w:t>
      </w:r>
      <w:r w:rsidR="005D0FC3" w:rsidRPr="008331C5">
        <w:rPr>
          <w:rFonts w:ascii="Times New Roman" w:hAnsi="Times New Roman" w:cs="Times New Roman"/>
          <w:sz w:val="24"/>
          <w:szCs w:val="24"/>
        </w:rPr>
        <w:t xml:space="preserve">posed above.  </w:t>
      </w:r>
    </w:p>
    <w:p w14:paraId="5819B626" w14:textId="77777777" w:rsidR="007B07A5" w:rsidRDefault="007B07A5" w:rsidP="00593C3C">
      <w:pPr>
        <w:spacing w:line="360" w:lineRule="auto"/>
        <w:jc w:val="both"/>
        <w:rPr>
          <w:rFonts w:ascii="Times New Roman" w:hAnsi="Times New Roman" w:cs="Times New Roman"/>
          <w:b/>
          <w:bCs/>
          <w:sz w:val="24"/>
          <w:szCs w:val="24"/>
        </w:rPr>
      </w:pPr>
    </w:p>
    <w:p w14:paraId="6B2A87C2" w14:textId="14A9FB48" w:rsidR="002C5148" w:rsidRPr="00593C3C" w:rsidRDefault="00593C3C" w:rsidP="00593C3C">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 person ‘</w:t>
      </w:r>
      <w:proofErr w:type="spellStart"/>
      <w:r>
        <w:rPr>
          <w:rFonts w:ascii="Times New Roman" w:hAnsi="Times New Roman" w:cs="Times New Roman"/>
          <w:b/>
          <w:bCs/>
          <w:sz w:val="24"/>
          <w:szCs w:val="24"/>
        </w:rPr>
        <w:t>damnified</w:t>
      </w:r>
      <w:proofErr w:type="spellEnd"/>
      <w:r>
        <w:rPr>
          <w:rFonts w:ascii="Times New Roman" w:hAnsi="Times New Roman" w:cs="Times New Roman"/>
          <w:b/>
          <w:bCs/>
          <w:sz w:val="24"/>
          <w:szCs w:val="24"/>
        </w:rPr>
        <w:t>’</w:t>
      </w:r>
      <w:r w:rsidR="00B86315" w:rsidRPr="00593C3C">
        <w:rPr>
          <w:rFonts w:ascii="Times New Roman" w:hAnsi="Times New Roman" w:cs="Times New Roman"/>
          <w:sz w:val="24"/>
          <w:szCs w:val="24"/>
        </w:rPr>
        <w:t xml:space="preserve"> </w:t>
      </w:r>
    </w:p>
    <w:p w14:paraId="55977C1B" w14:textId="101818AC" w:rsidR="00312947" w:rsidRDefault="00976818"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the language is somewhat old-fashioned, </w:t>
      </w:r>
      <w:r w:rsidR="004A1680">
        <w:rPr>
          <w:rFonts w:ascii="Times New Roman" w:hAnsi="Times New Roman" w:cs="Times New Roman"/>
          <w:sz w:val="24"/>
          <w:szCs w:val="24"/>
        </w:rPr>
        <w:t xml:space="preserve">we consider that the ordinary meaning of this word is reasonably clear: it means a person </w:t>
      </w:r>
      <w:r w:rsidR="00A06884">
        <w:rPr>
          <w:rFonts w:ascii="Times New Roman" w:hAnsi="Times New Roman" w:cs="Times New Roman"/>
          <w:sz w:val="24"/>
          <w:szCs w:val="24"/>
        </w:rPr>
        <w:t xml:space="preserve">who has been caused injury.  </w:t>
      </w:r>
      <w:r w:rsidR="00094A30">
        <w:rPr>
          <w:rFonts w:ascii="Times New Roman" w:hAnsi="Times New Roman" w:cs="Times New Roman"/>
          <w:sz w:val="24"/>
          <w:szCs w:val="24"/>
        </w:rPr>
        <w:t xml:space="preserve"> </w:t>
      </w:r>
      <w:proofErr w:type="gramStart"/>
      <w:r w:rsidR="00094A30">
        <w:rPr>
          <w:rFonts w:ascii="Times New Roman" w:hAnsi="Times New Roman" w:cs="Times New Roman"/>
          <w:sz w:val="24"/>
          <w:szCs w:val="24"/>
        </w:rPr>
        <w:t>It is clear that the</w:t>
      </w:r>
      <w:proofErr w:type="gramEnd"/>
      <w:r w:rsidR="00094A30">
        <w:rPr>
          <w:rFonts w:ascii="Times New Roman" w:hAnsi="Times New Roman" w:cs="Times New Roman"/>
          <w:sz w:val="24"/>
          <w:szCs w:val="24"/>
        </w:rPr>
        <w:t xml:space="preserve"> class extends to persons other than the mortgagor.  </w:t>
      </w:r>
      <w:r w:rsidR="00877AA7">
        <w:rPr>
          <w:rFonts w:ascii="Times New Roman" w:hAnsi="Times New Roman" w:cs="Times New Roman"/>
          <w:sz w:val="24"/>
          <w:szCs w:val="24"/>
        </w:rPr>
        <w:t>The real question is whether there is anything about the context which excludes some people who have been caused injury by the wrongful sale from claiming damages</w:t>
      </w:r>
      <w:r w:rsidR="00BA4EB9">
        <w:rPr>
          <w:rFonts w:ascii="Times New Roman" w:hAnsi="Times New Roman" w:cs="Times New Roman"/>
          <w:sz w:val="24"/>
          <w:szCs w:val="24"/>
        </w:rPr>
        <w:t xml:space="preserve">. </w:t>
      </w:r>
    </w:p>
    <w:p w14:paraId="637643ED" w14:textId="27D1DBE4" w:rsidR="008446F4" w:rsidRDefault="008446F4"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i/>
          <w:iCs/>
          <w:sz w:val="24"/>
          <w:szCs w:val="24"/>
        </w:rPr>
        <w:t>K</w:t>
      </w:r>
      <w:r w:rsidR="00457683">
        <w:rPr>
          <w:rFonts w:ascii="Times New Roman" w:hAnsi="Times New Roman" w:cs="Times New Roman"/>
          <w:i/>
          <w:iCs/>
          <w:sz w:val="24"/>
          <w:szCs w:val="24"/>
        </w:rPr>
        <w:t>allakis</w:t>
      </w:r>
      <w:proofErr w:type="spellEnd"/>
      <w:r w:rsidR="00457683">
        <w:rPr>
          <w:rFonts w:ascii="Times New Roman" w:hAnsi="Times New Roman" w:cs="Times New Roman"/>
          <w:i/>
          <w:iCs/>
          <w:sz w:val="24"/>
          <w:szCs w:val="24"/>
        </w:rPr>
        <w:t xml:space="preserve"> v AIB </w:t>
      </w:r>
      <w:r w:rsidR="00457683">
        <w:rPr>
          <w:rFonts w:ascii="Times New Roman" w:hAnsi="Times New Roman" w:cs="Times New Roman"/>
          <w:sz w:val="24"/>
          <w:szCs w:val="24"/>
        </w:rPr>
        <w:t>[2023] EWHC 2148</w:t>
      </w:r>
      <w:r w:rsidR="006C0EE4">
        <w:rPr>
          <w:rFonts w:ascii="Times New Roman" w:hAnsi="Times New Roman" w:cs="Times New Roman"/>
          <w:sz w:val="24"/>
          <w:szCs w:val="24"/>
        </w:rPr>
        <w:t xml:space="preserve"> (Comm)</w:t>
      </w:r>
      <w:r w:rsidR="00312947">
        <w:rPr>
          <w:rFonts w:ascii="Times New Roman" w:hAnsi="Times New Roman" w:cs="Times New Roman"/>
          <w:sz w:val="24"/>
          <w:szCs w:val="24"/>
        </w:rPr>
        <w:t xml:space="preserve">, </w:t>
      </w:r>
      <w:r w:rsidR="006C0EE4">
        <w:rPr>
          <w:rFonts w:ascii="Times New Roman" w:hAnsi="Times New Roman" w:cs="Times New Roman"/>
          <w:sz w:val="24"/>
          <w:szCs w:val="24"/>
        </w:rPr>
        <w:t xml:space="preserve">the Commercial Court </w:t>
      </w:r>
      <w:r w:rsidR="00A13601">
        <w:rPr>
          <w:rFonts w:ascii="Times New Roman" w:hAnsi="Times New Roman" w:cs="Times New Roman"/>
          <w:sz w:val="24"/>
          <w:szCs w:val="24"/>
        </w:rPr>
        <w:t xml:space="preserve">had to determine whether </w:t>
      </w:r>
      <w:r w:rsidR="008F12F8">
        <w:rPr>
          <w:rFonts w:ascii="Times New Roman" w:hAnsi="Times New Roman" w:cs="Times New Roman"/>
          <w:sz w:val="24"/>
          <w:szCs w:val="24"/>
        </w:rPr>
        <w:t xml:space="preserve">a lender owed a duty to </w:t>
      </w:r>
      <w:r w:rsidR="00A13601">
        <w:rPr>
          <w:rFonts w:ascii="Times New Roman" w:hAnsi="Times New Roman" w:cs="Times New Roman"/>
          <w:sz w:val="24"/>
          <w:szCs w:val="24"/>
        </w:rPr>
        <w:t>a person with a</w:t>
      </w:r>
      <w:r w:rsidR="00AA1F9B">
        <w:rPr>
          <w:rFonts w:ascii="Times New Roman" w:hAnsi="Times New Roman" w:cs="Times New Roman"/>
          <w:sz w:val="24"/>
          <w:szCs w:val="24"/>
        </w:rPr>
        <w:t>n indirect</w:t>
      </w:r>
      <w:r w:rsidR="00A13601">
        <w:rPr>
          <w:rFonts w:ascii="Times New Roman" w:hAnsi="Times New Roman" w:cs="Times New Roman"/>
          <w:sz w:val="24"/>
          <w:szCs w:val="24"/>
        </w:rPr>
        <w:t xml:space="preserve"> </w:t>
      </w:r>
      <w:r w:rsidR="00A449A9">
        <w:rPr>
          <w:rFonts w:ascii="Times New Roman" w:hAnsi="Times New Roman" w:cs="Times New Roman"/>
          <w:sz w:val="24"/>
          <w:szCs w:val="24"/>
        </w:rPr>
        <w:t xml:space="preserve">beneficial interest in </w:t>
      </w:r>
      <w:r w:rsidR="00A678C8">
        <w:rPr>
          <w:rFonts w:ascii="Times New Roman" w:hAnsi="Times New Roman" w:cs="Times New Roman"/>
          <w:sz w:val="24"/>
          <w:szCs w:val="24"/>
        </w:rPr>
        <w:t xml:space="preserve">the entity which owned the entity to whom misrepresentations were alleged to have been made.  </w:t>
      </w:r>
      <w:r w:rsidR="00235368">
        <w:rPr>
          <w:rFonts w:ascii="Times New Roman" w:hAnsi="Times New Roman" w:cs="Times New Roman"/>
          <w:sz w:val="24"/>
          <w:szCs w:val="24"/>
        </w:rPr>
        <w:t xml:space="preserve">It was argued that the wide wording of section 104(2) </w:t>
      </w:r>
      <w:r w:rsidR="00152E6B">
        <w:rPr>
          <w:rFonts w:ascii="Times New Roman" w:hAnsi="Times New Roman" w:cs="Times New Roman"/>
          <w:sz w:val="24"/>
          <w:szCs w:val="24"/>
        </w:rPr>
        <w:t xml:space="preserve">suggested that a lender would owe duties to a wide class of people, including the claimant.  </w:t>
      </w:r>
      <w:r w:rsidR="00094A30">
        <w:rPr>
          <w:rFonts w:ascii="Times New Roman" w:hAnsi="Times New Roman" w:cs="Times New Roman"/>
          <w:sz w:val="24"/>
          <w:szCs w:val="24"/>
        </w:rPr>
        <w:t xml:space="preserve">The Court rejected that submission: it said </w:t>
      </w:r>
      <w:r w:rsidR="003B20C1">
        <w:rPr>
          <w:rFonts w:ascii="Times New Roman" w:hAnsi="Times New Roman" w:cs="Times New Roman"/>
          <w:sz w:val="24"/>
          <w:szCs w:val="24"/>
        </w:rPr>
        <w:t xml:space="preserve">(at [182]-[183]) </w:t>
      </w:r>
      <w:r w:rsidR="00094A30">
        <w:rPr>
          <w:rFonts w:ascii="Times New Roman" w:hAnsi="Times New Roman" w:cs="Times New Roman"/>
          <w:sz w:val="24"/>
          <w:szCs w:val="24"/>
        </w:rPr>
        <w:t>that</w:t>
      </w:r>
      <w:r w:rsidR="00ED0990">
        <w:rPr>
          <w:rFonts w:ascii="Times New Roman" w:hAnsi="Times New Roman" w:cs="Times New Roman"/>
          <w:sz w:val="24"/>
          <w:szCs w:val="24"/>
        </w:rPr>
        <w:t xml:space="preserve"> a person in the claimant’s position</w:t>
      </w:r>
      <w:r w:rsidR="008331C5">
        <w:rPr>
          <w:rFonts w:ascii="Times New Roman" w:hAnsi="Times New Roman" w:cs="Times New Roman"/>
          <w:sz w:val="24"/>
          <w:szCs w:val="24"/>
        </w:rPr>
        <w:t xml:space="preserve"> could not </w:t>
      </w:r>
      <w:r w:rsidR="00ED0990">
        <w:rPr>
          <w:rFonts w:ascii="Times New Roman" w:hAnsi="Times New Roman" w:cs="Times New Roman"/>
          <w:sz w:val="24"/>
          <w:szCs w:val="24"/>
        </w:rPr>
        <w:t>claim damages</w:t>
      </w:r>
      <w:r w:rsidR="008331C5">
        <w:rPr>
          <w:rFonts w:ascii="Times New Roman" w:hAnsi="Times New Roman" w:cs="Times New Roman"/>
          <w:sz w:val="24"/>
          <w:szCs w:val="24"/>
        </w:rPr>
        <w:t xml:space="preserve"> under section 104(2)</w:t>
      </w:r>
      <w:r w:rsidR="00ED0990">
        <w:rPr>
          <w:rFonts w:ascii="Times New Roman" w:hAnsi="Times New Roman" w:cs="Times New Roman"/>
          <w:sz w:val="24"/>
          <w:szCs w:val="24"/>
        </w:rPr>
        <w:t>, suggest</w:t>
      </w:r>
      <w:r w:rsidR="008331C5">
        <w:rPr>
          <w:rFonts w:ascii="Times New Roman" w:hAnsi="Times New Roman" w:cs="Times New Roman"/>
          <w:sz w:val="24"/>
          <w:szCs w:val="24"/>
        </w:rPr>
        <w:t>ing</w:t>
      </w:r>
      <w:r w:rsidR="00ED0990">
        <w:rPr>
          <w:rFonts w:ascii="Times New Roman" w:hAnsi="Times New Roman" w:cs="Times New Roman"/>
          <w:sz w:val="24"/>
          <w:szCs w:val="24"/>
        </w:rPr>
        <w:t xml:space="preserve"> that </w:t>
      </w:r>
      <w:r w:rsidR="008331C5">
        <w:rPr>
          <w:rFonts w:ascii="Times New Roman" w:hAnsi="Times New Roman" w:cs="Times New Roman"/>
          <w:sz w:val="24"/>
          <w:szCs w:val="24"/>
        </w:rPr>
        <w:t xml:space="preserve">only a person </w:t>
      </w:r>
      <w:r w:rsidR="00656E42">
        <w:rPr>
          <w:rFonts w:ascii="Times New Roman" w:hAnsi="Times New Roman" w:cs="Times New Roman"/>
          <w:sz w:val="24"/>
          <w:szCs w:val="24"/>
        </w:rPr>
        <w:t>with a proprietary interest in the property</w:t>
      </w:r>
      <w:r w:rsidR="008331C5">
        <w:rPr>
          <w:rFonts w:ascii="Times New Roman" w:hAnsi="Times New Roman" w:cs="Times New Roman"/>
          <w:sz w:val="24"/>
          <w:szCs w:val="24"/>
        </w:rPr>
        <w:t xml:space="preserve"> could bring such a claim</w:t>
      </w:r>
      <w:r w:rsidR="00656E42">
        <w:rPr>
          <w:rFonts w:ascii="Times New Roman" w:hAnsi="Times New Roman" w:cs="Times New Roman"/>
          <w:sz w:val="24"/>
          <w:szCs w:val="24"/>
        </w:rPr>
        <w:t xml:space="preserve">.  </w:t>
      </w:r>
      <w:r w:rsidR="00A449A9">
        <w:rPr>
          <w:rFonts w:ascii="Times New Roman" w:hAnsi="Times New Roman" w:cs="Times New Roman"/>
          <w:sz w:val="24"/>
          <w:szCs w:val="24"/>
        </w:rPr>
        <w:t xml:space="preserve"> </w:t>
      </w:r>
    </w:p>
    <w:p w14:paraId="062FE8B2" w14:textId="5AFC4B31" w:rsidR="009A1E88" w:rsidRDefault="009A63F1"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fact, we do not </w:t>
      </w:r>
      <w:r w:rsidR="00656E42">
        <w:rPr>
          <w:rFonts w:ascii="Times New Roman" w:hAnsi="Times New Roman" w:cs="Times New Roman"/>
          <w:sz w:val="24"/>
          <w:szCs w:val="24"/>
        </w:rPr>
        <w:t xml:space="preserve">consider that is quite the right test.  </w:t>
      </w:r>
      <w:r w:rsidR="00E03626">
        <w:rPr>
          <w:rFonts w:ascii="Times New Roman" w:hAnsi="Times New Roman" w:cs="Times New Roman"/>
          <w:sz w:val="24"/>
          <w:szCs w:val="24"/>
        </w:rPr>
        <w:t xml:space="preserve">We do not consider that someone with, say, </w:t>
      </w:r>
      <w:r w:rsidR="00352B37">
        <w:rPr>
          <w:rFonts w:ascii="Times New Roman" w:hAnsi="Times New Roman" w:cs="Times New Roman"/>
          <w:sz w:val="24"/>
          <w:szCs w:val="24"/>
        </w:rPr>
        <w:t xml:space="preserve">the benefit of a restrictive covenant over the </w:t>
      </w:r>
      <w:proofErr w:type="gramStart"/>
      <w:r w:rsidR="00352B37">
        <w:rPr>
          <w:rFonts w:ascii="Times New Roman" w:hAnsi="Times New Roman" w:cs="Times New Roman"/>
          <w:sz w:val="24"/>
          <w:szCs w:val="24"/>
        </w:rPr>
        <w:t>land</w:t>
      </w:r>
      <w:proofErr w:type="gramEnd"/>
      <w:r w:rsidR="00352B37">
        <w:rPr>
          <w:rFonts w:ascii="Times New Roman" w:hAnsi="Times New Roman" w:cs="Times New Roman"/>
          <w:sz w:val="24"/>
          <w:szCs w:val="24"/>
        </w:rPr>
        <w:t xml:space="preserve"> which </w:t>
      </w:r>
      <w:r w:rsidR="00F2140C">
        <w:rPr>
          <w:rFonts w:ascii="Times New Roman" w:hAnsi="Times New Roman" w:cs="Times New Roman"/>
          <w:sz w:val="24"/>
          <w:szCs w:val="24"/>
        </w:rPr>
        <w:t>was not protected by registration at Land Registry</w:t>
      </w:r>
      <w:r w:rsidR="008331C5">
        <w:rPr>
          <w:rFonts w:ascii="Times New Roman" w:hAnsi="Times New Roman" w:cs="Times New Roman"/>
          <w:sz w:val="24"/>
          <w:szCs w:val="24"/>
        </w:rPr>
        <w:t xml:space="preserve">, so that the purchaser took free of it, </w:t>
      </w:r>
      <w:r w:rsidR="00F2140C">
        <w:rPr>
          <w:rFonts w:ascii="Times New Roman" w:hAnsi="Times New Roman" w:cs="Times New Roman"/>
          <w:sz w:val="24"/>
          <w:szCs w:val="24"/>
        </w:rPr>
        <w:t xml:space="preserve">would be able to claim against the lender </w:t>
      </w:r>
      <w:r w:rsidR="008331C5">
        <w:rPr>
          <w:rFonts w:ascii="Times New Roman" w:hAnsi="Times New Roman" w:cs="Times New Roman"/>
          <w:sz w:val="24"/>
          <w:szCs w:val="24"/>
        </w:rPr>
        <w:t xml:space="preserve">if, </w:t>
      </w:r>
      <w:r w:rsidR="004F6653">
        <w:rPr>
          <w:rFonts w:ascii="Times New Roman" w:hAnsi="Times New Roman" w:cs="Times New Roman"/>
          <w:sz w:val="24"/>
          <w:szCs w:val="24"/>
        </w:rPr>
        <w:t xml:space="preserve">by happenstance, the </w:t>
      </w:r>
      <w:r w:rsidR="00AB20B1">
        <w:rPr>
          <w:rFonts w:ascii="Times New Roman" w:hAnsi="Times New Roman" w:cs="Times New Roman"/>
          <w:sz w:val="24"/>
          <w:szCs w:val="24"/>
        </w:rPr>
        <w:t>lender had wrongly exercised the power of sale.  The lender</w:t>
      </w:r>
      <w:r w:rsidR="00E67778">
        <w:rPr>
          <w:rFonts w:ascii="Times New Roman" w:hAnsi="Times New Roman" w:cs="Times New Roman"/>
          <w:sz w:val="24"/>
          <w:szCs w:val="24"/>
        </w:rPr>
        <w:t xml:space="preserve">’s duty to account is owed to </w:t>
      </w:r>
      <w:r w:rsidR="00CD26AE">
        <w:rPr>
          <w:rFonts w:ascii="Times New Roman" w:hAnsi="Times New Roman" w:cs="Times New Roman"/>
          <w:sz w:val="24"/>
          <w:szCs w:val="24"/>
        </w:rPr>
        <w:t>all those interested in the equity of redemption, but not to others</w:t>
      </w:r>
      <w:r w:rsidR="001B7BC6">
        <w:rPr>
          <w:rFonts w:ascii="Times New Roman" w:hAnsi="Times New Roman" w:cs="Times New Roman"/>
          <w:sz w:val="24"/>
          <w:szCs w:val="24"/>
        </w:rPr>
        <w:t xml:space="preserve">: </w:t>
      </w:r>
      <w:r w:rsidR="001B7BC6">
        <w:rPr>
          <w:rFonts w:ascii="Times New Roman" w:hAnsi="Times New Roman" w:cs="Times New Roman"/>
          <w:i/>
          <w:iCs/>
          <w:sz w:val="24"/>
          <w:szCs w:val="24"/>
        </w:rPr>
        <w:t>Silven Properties Ltd v Royal Bank of Scotland plc [2004] 1 WLR 997 at [19]</w:t>
      </w:r>
      <w:r w:rsidR="00023C26">
        <w:rPr>
          <w:rFonts w:ascii="Times New Roman" w:hAnsi="Times New Roman" w:cs="Times New Roman"/>
          <w:sz w:val="24"/>
          <w:szCs w:val="24"/>
        </w:rPr>
        <w:t>.</w:t>
      </w:r>
      <w:r w:rsidR="00DA1015">
        <w:rPr>
          <w:rFonts w:ascii="Times New Roman" w:hAnsi="Times New Roman" w:cs="Times New Roman"/>
          <w:sz w:val="24"/>
          <w:szCs w:val="24"/>
        </w:rPr>
        <w:t xml:space="preserve"> </w:t>
      </w:r>
      <w:r w:rsidR="00002D2C">
        <w:rPr>
          <w:rFonts w:ascii="Times New Roman" w:hAnsi="Times New Roman" w:cs="Times New Roman"/>
          <w:sz w:val="24"/>
          <w:szCs w:val="24"/>
        </w:rPr>
        <w:t xml:space="preserve">We therefore consider that the only persons who can </w:t>
      </w:r>
      <w:r w:rsidR="00BD60D3">
        <w:rPr>
          <w:rFonts w:ascii="Times New Roman" w:hAnsi="Times New Roman" w:cs="Times New Roman"/>
          <w:sz w:val="24"/>
          <w:szCs w:val="24"/>
        </w:rPr>
        <w:t>claim</w:t>
      </w:r>
      <w:r w:rsidR="00825B27">
        <w:rPr>
          <w:rFonts w:ascii="Times New Roman" w:hAnsi="Times New Roman" w:cs="Times New Roman"/>
          <w:sz w:val="24"/>
          <w:szCs w:val="24"/>
        </w:rPr>
        <w:t xml:space="preserve"> under section 104(2) </w:t>
      </w:r>
      <w:r w:rsidR="00BD60D3">
        <w:rPr>
          <w:rFonts w:ascii="Times New Roman" w:hAnsi="Times New Roman" w:cs="Times New Roman"/>
          <w:sz w:val="24"/>
          <w:szCs w:val="24"/>
        </w:rPr>
        <w:t>if they are ‘</w:t>
      </w:r>
      <w:proofErr w:type="spellStart"/>
      <w:r w:rsidR="00BD60D3">
        <w:rPr>
          <w:rFonts w:ascii="Times New Roman" w:hAnsi="Times New Roman" w:cs="Times New Roman"/>
          <w:sz w:val="24"/>
          <w:szCs w:val="24"/>
        </w:rPr>
        <w:t>damnified</w:t>
      </w:r>
      <w:proofErr w:type="spellEnd"/>
      <w:r w:rsidR="00BD60D3">
        <w:rPr>
          <w:rFonts w:ascii="Times New Roman" w:hAnsi="Times New Roman" w:cs="Times New Roman"/>
          <w:sz w:val="24"/>
          <w:szCs w:val="24"/>
        </w:rPr>
        <w:t xml:space="preserve">’ </w:t>
      </w:r>
      <w:proofErr w:type="gramStart"/>
      <w:r w:rsidR="00002D2C">
        <w:rPr>
          <w:rFonts w:ascii="Times New Roman" w:hAnsi="Times New Roman" w:cs="Times New Roman"/>
          <w:sz w:val="24"/>
          <w:szCs w:val="24"/>
        </w:rPr>
        <w:t>as a result of</w:t>
      </w:r>
      <w:proofErr w:type="gramEnd"/>
      <w:r w:rsidR="00002D2C">
        <w:rPr>
          <w:rFonts w:ascii="Times New Roman" w:hAnsi="Times New Roman" w:cs="Times New Roman"/>
          <w:sz w:val="24"/>
          <w:szCs w:val="24"/>
        </w:rPr>
        <w:t xml:space="preserve"> a wrongful exercise of the power of sale are</w:t>
      </w:r>
      <w:r w:rsidR="00BD60D3">
        <w:rPr>
          <w:rFonts w:ascii="Times New Roman" w:hAnsi="Times New Roman" w:cs="Times New Roman"/>
          <w:sz w:val="24"/>
          <w:szCs w:val="24"/>
        </w:rPr>
        <w:t xml:space="preserve"> persons interested in the equity of redemption</w:t>
      </w:r>
      <w:r w:rsidR="009A1E88">
        <w:rPr>
          <w:rFonts w:ascii="Times New Roman" w:hAnsi="Times New Roman" w:cs="Times New Roman"/>
          <w:sz w:val="24"/>
          <w:szCs w:val="24"/>
        </w:rPr>
        <w:t xml:space="preserve">.  </w:t>
      </w:r>
    </w:p>
    <w:p w14:paraId="75765D6F" w14:textId="77777777" w:rsidR="002974BE" w:rsidRDefault="009A1E88"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 xml:space="preserve">CPF One Ltd v OSK (UK) II Ltd </w:t>
      </w:r>
      <w:r>
        <w:rPr>
          <w:rFonts w:ascii="Times New Roman" w:hAnsi="Times New Roman" w:cs="Times New Roman"/>
          <w:sz w:val="24"/>
          <w:szCs w:val="24"/>
        </w:rPr>
        <w:t>[2023] EWHC 2102</w:t>
      </w:r>
      <w:r w:rsidR="00206B13">
        <w:rPr>
          <w:rFonts w:ascii="Times New Roman" w:hAnsi="Times New Roman" w:cs="Times New Roman"/>
          <w:sz w:val="24"/>
          <w:szCs w:val="24"/>
        </w:rPr>
        <w:t xml:space="preserve"> (Ch)</w:t>
      </w:r>
      <w:r>
        <w:rPr>
          <w:rFonts w:ascii="Times New Roman" w:hAnsi="Times New Roman" w:cs="Times New Roman"/>
          <w:sz w:val="24"/>
          <w:szCs w:val="24"/>
        </w:rPr>
        <w:t>, the</w:t>
      </w:r>
      <w:r w:rsidR="00206B13">
        <w:rPr>
          <w:rFonts w:ascii="Times New Roman" w:hAnsi="Times New Roman" w:cs="Times New Roman"/>
          <w:sz w:val="24"/>
          <w:szCs w:val="24"/>
        </w:rPr>
        <w:t xml:space="preserve"> Court </w:t>
      </w:r>
      <w:r w:rsidR="008D413F">
        <w:rPr>
          <w:rFonts w:ascii="Times New Roman" w:hAnsi="Times New Roman" w:cs="Times New Roman"/>
          <w:sz w:val="24"/>
          <w:szCs w:val="24"/>
        </w:rPr>
        <w:t xml:space="preserve">summarised </w:t>
      </w:r>
      <w:r w:rsidR="00447B5B">
        <w:rPr>
          <w:rFonts w:ascii="Times New Roman" w:hAnsi="Times New Roman" w:cs="Times New Roman"/>
          <w:sz w:val="24"/>
          <w:szCs w:val="24"/>
        </w:rPr>
        <w:t>(at [37]-[38]) who was interested in the equity of redemption</w:t>
      </w:r>
      <w:r w:rsidR="0087508C">
        <w:rPr>
          <w:rFonts w:ascii="Times New Roman" w:hAnsi="Times New Roman" w:cs="Times New Roman"/>
          <w:sz w:val="24"/>
          <w:szCs w:val="24"/>
        </w:rPr>
        <w:t xml:space="preserve">. </w:t>
      </w:r>
      <w:r w:rsidR="008D413F">
        <w:rPr>
          <w:rFonts w:ascii="Times New Roman" w:hAnsi="Times New Roman" w:cs="Times New Roman"/>
          <w:sz w:val="24"/>
          <w:szCs w:val="24"/>
        </w:rPr>
        <w:t xml:space="preserve"> </w:t>
      </w:r>
      <w:r w:rsidR="004F37D1">
        <w:rPr>
          <w:rFonts w:ascii="Times New Roman" w:hAnsi="Times New Roman" w:cs="Times New Roman"/>
          <w:sz w:val="24"/>
          <w:szCs w:val="24"/>
        </w:rPr>
        <w:t xml:space="preserve">The point was also considered in </w:t>
      </w:r>
      <w:proofErr w:type="spellStart"/>
      <w:proofErr w:type="gramStart"/>
      <w:r w:rsidR="004F37D1">
        <w:rPr>
          <w:rFonts w:ascii="Times New Roman" w:hAnsi="Times New Roman" w:cs="Times New Roman"/>
          <w:i/>
          <w:iCs/>
          <w:sz w:val="24"/>
          <w:szCs w:val="24"/>
        </w:rPr>
        <w:t>Kallakis</w:t>
      </w:r>
      <w:proofErr w:type="spellEnd"/>
      <w:r w:rsidR="004F37D1">
        <w:rPr>
          <w:rFonts w:ascii="Times New Roman" w:hAnsi="Times New Roman" w:cs="Times New Roman"/>
          <w:i/>
          <w:iCs/>
          <w:sz w:val="24"/>
          <w:szCs w:val="24"/>
        </w:rPr>
        <w:t xml:space="preserve"> </w:t>
      </w:r>
      <w:r w:rsidR="004F37D1">
        <w:rPr>
          <w:rFonts w:ascii="Times New Roman" w:hAnsi="Times New Roman" w:cs="Times New Roman"/>
          <w:sz w:val="24"/>
          <w:szCs w:val="24"/>
        </w:rPr>
        <w:t xml:space="preserve"> at</w:t>
      </w:r>
      <w:proofErr w:type="gramEnd"/>
      <w:r w:rsidR="004F37D1">
        <w:rPr>
          <w:rFonts w:ascii="Times New Roman" w:hAnsi="Times New Roman" w:cs="Times New Roman"/>
          <w:sz w:val="24"/>
          <w:szCs w:val="24"/>
        </w:rPr>
        <w:t xml:space="preserve"> [</w:t>
      </w:r>
      <w:r w:rsidR="00E933D5">
        <w:rPr>
          <w:rFonts w:ascii="Times New Roman" w:hAnsi="Times New Roman" w:cs="Times New Roman"/>
          <w:sz w:val="24"/>
          <w:szCs w:val="24"/>
        </w:rPr>
        <w:t xml:space="preserve">192]-[193].  </w:t>
      </w:r>
      <w:r w:rsidR="003E4BFC">
        <w:rPr>
          <w:rFonts w:ascii="Times New Roman" w:hAnsi="Times New Roman" w:cs="Times New Roman"/>
          <w:sz w:val="24"/>
          <w:szCs w:val="24"/>
        </w:rPr>
        <w:t>On the basis of th</w:t>
      </w:r>
      <w:r w:rsidR="00814A1A">
        <w:rPr>
          <w:rFonts w:ascii="Times New Roman" w:hAnsi="Times New Roman" w:cs="Times New Roman"/>
          <w:sz w:val="24"/>
          <w:szCs w:val="24"/>
        </w:rPr>
        <w:t>e</w:t>
      </w:r>
      <w:r w:rsidR="003E4BFC">
        <w:rPr>
          <w:rFonts w:ascii="Times New Roman" w:hAnsi="Times New Roman" w:cs="Times New Roman"/>
          <w:sz w:val="24"/>
          <w:szCs w:val="24"/>
        </w:rPr>
        <w:t>s</w:t>
      </w:r>
      <w:r w:rsidR="00814A1A">
        <w:rPr>
          <w:rFonts w:ascii="Times New Roman" w:hAnsi="Times New Roman" w:cs="Times New Roman"/>
          <w:sz w:val="24"/>
          <w:szCs w:val="24"/>
        </w:rPr>
        <w:t>e</w:t>
      </w:r>
      <w:r w:rsidR="00B06981">
        <w:rPr>
          <w:rFonts w:ascii="Times New Roman" w:hAnsi="Times New Roman" w:cs="Times New Roman"/>
          <w:sz w:val="24"/>
          <w:szCs w:val="24"/>
        </w:rPr>
        <w:t xml:space="preserve"> case, and the leading authority of </w:t>
      </w:r>
      <w:r w:rsidR="00B06981">
        <w:rPr>
          <w:rFonts w:ascii="Times New Roman" w:hAnsi="Times New Roman" w:cs="Times New Roman"/>
          <w:i/>
          <w:iCs/>
          <w:sz w:val="24"/>
          <w:szCs w:val="24"/>
        </w:rPr>
        <w:t xml:space="preserve">Downsview Ltd v First City </w:t>
      </w:r>
      <w:proofErr w:type="spellStart"/>
      <w:r w:rsidR="00B06981">
        <w:rPr>
          <w:rFonts w:ascii="Times New Roman" w:hAnsi="Times New Roman" w:cs="Times New Roman"/>
          <w:i/>
          <w:iCs/>
          <w:sz w:val="24"/>
          <w:szCs w:val="24"/>
        </w:rPr>
        <w:t>Corpn</w:t>
      </w:r>
      <w:proofErr w:type="spellEnd"/>
      <w:r w:rsidR="00B06981">
        <w:rPr>
          <w:rFonts w:ascii="Times New Roman" w:hAnsi="Times New Roman" w:cs="Times New Roman"/>
          <w:i/>
          <w:iCs/>
          <w:sz w:val="24"/>
          <w:szCs w:val="24"/>
        </w:rPr>
        <w:t xml:space="preserve"> Ltd </w:t>
      </w:r>
      <w:r w:rsidR="00B06981">
        <w:rPr>
          <w:rFonts w:ascii="Times New Roman" w:hAnsi="Times New Roman" w:cs="Times New Roman"/>
          <w:sz w:val="24"/>
          <w:szCs w:val="24"/>
        </w:rPr>
        <w:t xml:space="preserve">[1993] </w:t>
      </w:r>
      <w:r w:rsidR="00AE6BC9">
        <w:rPr>
          <w:rFonts w:ascii="Times New Roman" w:hAnsi="Times New Roman" w:cs="Times New Roman"/>
          <w:sz w:val="24"/>
          <w:szCs w:val="24"/>
        </w:rPr>
        <w:t>A.C. 295</w:t>
      </w:r>
      <w:r w:rsidR="003E4BFC">
        <w:rPr>
          <w:rFonts w:ascii="Times New Roman" w:hAnsi="Times New Roman" w:cs="Times New Roman"/>
          <w:sz w:val="24"/>
          <w:szCs w:val="24"/>
        </w:rPr>
        <w:t>, the</w:t>
      </w:r>
      <w:r w:rsidR="00AE6BC9">
        <w:rPr>
          <w:rFonts w:ascii="Times New Roman" w:hAnsi="Times New Roman" w:cs="Times New Roman"/>
          <w:sz w:val="24"/>
          <w:szCs w:val="24"/>
        </w:rPr>
        <w:t xml:space="preserve"> position can be summarised </w:t>
      </w:r>
      <w:r w:rsidR="002974BE">
        <w:rPr>
          <w:rFonts w:ascii="Times New Roman" w:hAnsi="Times New Roman" w:cs="Times New Roman"/>
          <w:sz w:val="24"/>
          <w:szCs w:val="24"/>
        </w:rPr>
        <w:t xml:space="preserve">in Table 1 </w:t>
      </w:r>
      <w:proofErr w:type="gramStart"/>
      <w:r w:rsidR="002974BE">
        <w:rPr>
          <w:rFonts w:ascii="Times New Roman" w:hAnsi="Times New Roman" w:cs="Times New Roman"/>
          <w:sz w:val="24"/>
          <w:szCs w:val="24"/>
        </w:rPr>
        <w:t>below</w:t>
      </w:r>
      <w:proofErr w:type="gramEnd"/>
      <w:r w:rsidR="002974BE">
        <w:rPr>
          <w:rFonts w:ascii="Times New Roman" w:hAnsi="Times New Roman" w:cs="Times New Roman"/>
          <w:sz w:val="24"/>
          <w:szCs w:val="24"/>
        </w:rPr>
        <w:t xml:space="preserve"> </w:t>
      </w:r>
    </w:p>
    <w:p w14:paraId="5BAB3EA7" w14:textId="77777777" w:rsidR="002974BE" w:rsidRDefault="002974BE" w:rsidP="006E1943">
      <w:pPr>
        <w:spacing w:line="360" w:lineRule="auto"/>
        <w:jc w:val="both"/>
        <w:rPr>
          <w:rFonts w:ascii="Times New Roman" w:hAnsi="Times New Roman" w:cs="Times New Roman"/>
          <w:sz w:val="24"/>
          <w:szCs w:val="24"/>
        </w:rPr>
      </w:pPr>
    </w:p>
    <w:p w14:paraId="67B173C9" w14:textId="39925613" w:rsidR="002974BE" w:rsidRDefault="002974BE" w:rsidP="006E1943">
      <w:pPr>
        <w:spacing w:line="360" w:lineRule="auto"/>
        <w:jc w:val="both"/>
        <w:rPr>
          <w:rFonts w:ascii="Times New Roman" w:hAnsi="Times New Roman" w:cs="Times New Roman"/>
          <w:sz w:val="24"/>
          <w:szCs w:val="24"/>
        </w:rPr>
      </w:pPr>
      <w:r>
        <w:rPr>
          <w:noProof/>
        </w:rPr>
        <w:lastRenderedPageBreak/>
        <w:drawing>
          <wp:inline distT="0" distB="0" distL="0" distR="0" wp14:anchorId="546EB5A6" wp14:editId="617DFE51">
            <wp:extent cx="4924425" cy="2257425"/>
            <wp:effectExtent l="0" t="0" r="9525" b="9525"/>
            <wp:docPr id="16057907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9071" name="Picture 1" descr="A close-up of a docum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2257425"/>
                    </a:xfrm>
                    <a:prstGeom prst="rect">
                      <a:avLst/>
                    </a:prstGeom>
                    <a:noFill/>
                    <a:ln>
                      <a:noFill/>
                    </a:ln>
                  </pic:spPr>
                </pic:pic>
              </a:graphicData>
            </a:graphic>
          </wp:inline>
        </w:drawing>
      </w:r>
      <w:r>
        <w:rPr>
          <w:rFonts w:ascii="Times New Roman" w:hAnsi="Times New Roman" w:cs="Times New Roman"/>
          <w:sz w:val="24"/>
          <w:szCs w:val="24"/>
        </w:rPr>
        <w:t xml:space="preserve"> </w:t>
      </w:r>
    </w:p>
    <w:p w14:paraId="579F01EC" w14:textId="77777777" w:rsidR="002974BE" w:rsidRDefault="002974BE" w:rsidP="006E1943">
      <w:pPr>
        <w:spacing w:line="360" w:lineRule="auto"/>
        <w:jc w:val="both"/>
        <w:rPr>
          <w:rFonts w:ascii="Times New Roman" w:hAnsi="Times New Roman" w:cs="Times New Roman"/>
          <w:b/>
          <w:bCs/>
          <w:sz w:val="24"/>
          <w:szCs w:val="24"/>
        </w:rPr>
      </w:pPr>
    </w:p>
    <w:p w14:paraId="4FA44507" w14:textId="3D4D400D" w:rsidR="006E1943" w:rsidRPr="006E1943" w:rsidRDefault="006E1943" w:rsidP="006E194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Damages </w:t>
      </w:r>
    </w:p>
    <w:p w14:paraId="06A9F5DD" w14:textId="77777777" w:rsidR="008331C5" w:rsidRDefault="00574EEE"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8E1956" w:rsidRPr="006E1943">
        <w:rPr>
          <w:rFonts w:ascii="Times New Roman" w:hAnsi="Times New Roman" w:cs="Times New Roman"/>
          <w:sz w:val="24"/>
          <w:szCs w:val="24"/>
        </w:rPr>
        <w:t>ow are damages quantified?</w:t>
      </w:r>
      <w:r w:rsidR="00C62C9A" w:rsidRPr="006E1943">
        <w:rPr>
          <w:rFonts w:ascii="Times New Roman" w:hAnsi="Times New Roman" w:cs="Times New Roman"/>
          <w:sz w:val="24"/>
          <w:szCs w:val="24"/>
        </w:rPr>
        <w:t xml:space="preserve"> </w:t>
      </w:r>
      <w:r w:rsidR="008331C5">
        <w:rPr>
          <w:rFonts w:ascii="Times New Roman" w:hAnsi="Times New Roman" w:cs="Times New Roman"/>
          <w:sz w:val="24"/>
          <w:szCs w:val="24"/>
        </w:rPr>
        <w:t xml:space="preserve">In </w:t>
      </w:r>
      <w:r w:rsidR="008331C5">
        <w:rPr>
          <w:rFonts w:ascii="Times New Roman" w:hAnsi="Times New Roman" w:cs="Times New Roman"/>
          <w:i/>
          <w:iCs/>
          <w:sz w:val="24"/>
          <w:szCs w:val="24"/>
        </w:rPr>
        <w:t xml:space="preserve">McGinnis, </w:t>
      </w:r>
      <w:r w:rsidR="008331C5">
        <w:rPr>
          <w:rFonts w:ascii="Times New Roman" w:hAnsi="Times New Roman" w:cs="Times New Roman"/>
          <w:sz w:val="24"/>
          <w:szCs w:val="24"/>
        </w:rPr>
        <w:t xml:space="preserve">the Court said: </w:t>
      </w:r>
    </w:p>
    <w:p w14:paraId="45F6CDBB" w14:textId="77777777" w:rsidR="008331C5" w:rsidRDefault="008331C5" w:rsidP="008331C5">
      <w:pPr>
        <w:spacing w:line="360" w:lineRule="auto"/>
        <w:ind w:left="720" w:firstLine="60"/>
        <w:jc w:val="both"/>
        <w:rPr>
          <w:rFonts w:ascii="Times New Roman" w:hAnsi="Times New Roman" w:cs="Times New Roman"/>
          <w:sz w:val="24"/>
          <w:szCs w:val="24"/>
        </w:rPr>
      </w:pPr>
      <w:r>
        <w:rPr>
          <w:rFonts w:ascii="Times New Roman" w:hAnsi="Times New Roman" w:cs="Times New Roman"/>
          <w:sz w:val="24"/>
          <w:szCs w:val="24"/>
        </w:rPr>
        <w:t>“</w:t>
      </w:r>
      <w:r w:rsidRPr="00ED0764">
        <w:rPr>
          <w:rFonts w:ascii="Times New Roman" w:hAnsi="Times New Roman" w:cs="Times New Roman"/>
          <w:i/>
          <w:iCs/>
          <w:sz w:val="24"/>
          <w:szCs w:val="24"/>
        </w:rPr>
        <w:t>the relief claimed as damages in in substance identical with that which a Court of Equity would</w:t>
      </w:r>
      <w:proofErr w:type="gramStart"/>
      <w:r w:rsidRPr="00ED0764">
        <w:rPr>
          <w:rFonts w:ascii="Times New Roman" w:hAnsi="Times New Roman" w:cs="Times New Roman"/>
          <w:i/>
          <w:iCs/>
          <w:sz w:val="24"/>
          <w:szCs w:val="24"/>
        </w:rPr>
        <w:t>….grant</w:t>
      </w:r>
      <w:proofErr w:type="gramEnd"/>
      <w:r w:rsidRPr="00ED0764">
        <w:rPr>
          <w:rFonts w:ascii="Times New Roman" w:hAnsi="Times New Roman" w:cs="Times New Roman"/>
          <w:i/>
          <w:iCs/>
          <w:sz w:val="24"/>
          <w:szCs w:val="24"/>
        </w:rPr>
        <w:t xml:space="preserve"> by directing an account by the Defendant on the basis of wilful default</w:t>
      </w:r>
      <w:r>
        <w:rPr>
          <w:rFonts w:ascii="Times New Roman" w:hAnsi="Times New Roman" w:cs="Times New Roman"/>
          <w:sz w:val="24"/>
          <w:szCs w:val="24"/>
        </w:rPr>
        <w:t xml:space="preserve">”.   </w:t>
      </w:r>
    </w:p>
    <w:p w14:paraId="79C9BB99" w14:textId="00D69673" w:rsidR="00DA32FC" w:rsidRDefault="001B7BC6"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means the lender would have to account to the mortgagor and all others interested in the equity of redemption not just for what he </w:t>
      </w:r>
      <w:proofErr w:type="gramStart"/>
      <w:r>
        <w:rPr>
          <w:rFonts w:ascii="Times New Roman" w:hAnsi="Times New Roman" w:cs="Times New Roman"/>
          <w:sz w:val="24"/>
          <w:szCs w:val="24"/>
        </w:rPr>
        <w:t>actually received</w:t>
      </w:r>
      <w:proofErr w:type="gramEnd"/>
      <w:r>
        <w:rPr>
          <w:rFonts w:ascii="Times New Roman" w:hAnsi="Times New Roman" w:cs="Times New Roman"/>
          <w:sz w:val="24"/>
          <w:szCs w:val="24"/>
        </w:rPr>
        <w:t xml:space="preserve">, but for what he should have received, had the wrongful sale not occurred: </w:t>
      </w:r>
      <w:r>
        <w:rPr>
          <w:rFonts w:ascii="Times New Roman" w:hAnsi="Times New Roman" w:cs="Times New Roman"/>
          <w:i/>
          <w:iCs/>
          <w:sz w:val="24"/>
          <w:szCs w:val="24"/>
        </w:rPr>
        <w:t xml:space="preserve">Silven (supra).  </w:t>
      </w:r>
    </w:p>
    <w:p w14:paraId="73D07D81" w14:textId="65AE7504" w:rsidR="00B92A0C" w:rsidRDefault="00B92A0C" w:rsidP="006E1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consider what this might mean in </w:t>
      </w:r>
      <w:proofErr w:type="gramStart"/>
      <w:r>
        <w:rPr>
          <w:rFonts w:ascii="Times New Roman" w:hAnsi="Times New Roman" w:cs="Times New Roman"/>
          <w:sz w:val="24"/>
          <w:szCs w:val="24"/>
        </w:rPr>
        <w:t>practice,</w:t>
      </w:r>
      <w:proofErr w:type="gramEnd"/>
      <w:r>
        <w:rPr>
          <w:rFonts w:ascii="Times New Roman" w:hAnsi="Times New Roman" w:cs="Times New Roman"/>
          <w:sz w:val="24"/>
          <w:szCs w:val="24"/>
        </w:rPr>
        <w:t xml:space="preserve"> it is necessary to differentiate two types of cases:</w:t>
      </w:r>
    </w:p>
    <w:p w14:paraId="78183CA2" w14:textId="77777777" w:rsidR="00B92A0C" w:rsidRDefault="00B92A0C" w:rsidP="00B92A0C">
      <w:pPr>
        <w:spacing w:line="360" w:lineRule="auto"/>
        <w:jc w:val="both"/>
        <w:rPr>
          <w:rFonts w:ascii="Times New Roman" w:hAnsi="Times New Roman" w:cs="Times New Roman"/>
          <w:sz w:val="24"/>
          <w:szCs w:val="24"/>
        </w:rPr>
      </w:pPr>
      <w:r w:rsidRPr="00B92A0C">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CAA1ADC" wp14:editId="75070634">
                <wp:simplePos x="0" y="0"/>
                <wp:positionH relativeFrom="column">
                  <wp:posOffset>152400</wp:posOffset>
                </wp:positionH>
                <wp:positionV relativeFrom="paragraph">
                  <wp:posOffset>180975</wp:posOffset>
                </wp:positionV>
                <wp:extent cx="5638165" cy="1123950"/>
                <wp:effectExtent l="0" t="0" r="19685" b="19050"/>
                <wp:wrapSquare wrapText="bothSides"/>
                <wp:docPr id="306065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1123950"/>
                        </a:xfrm>
                        <a:prstGeom prst="rect">
                          <a:avLst/>
                        </a:prstGeom>
                        <a:solidFill>
                          <a:srgbClr val="FFFFFF"/>
                        </a:solidFill>
                        <a:ln w="9525">
                          <a:solidFill>
                            <a:srgbClr val="000000"/>
                          </a:solidFill>
                          <a:miter lim="800000"/>
                          <a:headEnd/>
                          <a:tailEnd/>
                        </a:ln>
                      </wps:spPr>
                      <wps:txbx>
                        <w:txbxContent>
                          <w:p w14:paraId="29C59403" w14:textId="2BDA4F1B" w:rsidR="00B92A0C" w:rsidRDefault="00B92A0C" w:rsidP="00B92A0C">
                            <w:pPr>
                              <w:pStyle w:val="ListParagraph"/>
                              <w:numPr>
                                <w:ilvl w:val="0"/>
                                <w:numId w:val="9"/>
                              </w:numPr>
                              <w:spacing w:line="360" w:lineRule="auto"/>
                              <w:jc w:val="both"/>
                              <w:rPr>
                                <w:rFonts w:ascii="Times New Roman" w:hAnsi="Times New Roman" w:cs="Times New Roman"/>
                                <w:sz w:val="24"/>
                                <w:szCs w:val="24"/>
                              </w:rPr>
                            </w:pPr>
                            <w:r w:rsidRPr="00B92A0C">
                              <w:rPr>
                                <w:rFonts w:ascii="Times New Roman" w:hAnsi="Times New Roman" w:cs="Times New Roman"/>
                                <w:sz w:val="24"/>
                                <w:szCs w:val="24"/>
                              </w:rPr>
                              <w:t>cases where the lender COULD have exercised the power of sale properly, but failed, say, to operate the mechanics of giving notice properly</w:t>
                            </w:r>
                            <w:r>
                              <w:rPr>
                                <w:rFonts w:ascii="Times New Roman" w:hAnsi="Times New Roman" w:cs="Times New Roman"/>
                                <w:sz w:val="24"/>
                                <w:szCs w:val="24"/>
                              </w:rPr>
                              <w:t xml:space="preserve">; and </w:t>
                            </w:r>
                          </w:p>
                          <w:p w14:paraId="1BCC0FCF" w14:textId="77777777" w:rsidR="00B92A0C" w:rsidRDefault="00B92A0C" w:rsidP="00B92A0C">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cases where the lender COULD NOT have exercised the power of sale at that time. </w:t>
                            </w:r>
                          </w:p>
                          <w:p w14:paraId="2BD13AEA" w14:textId="52E2AE45" w:rsidR="00B92A0C" w:rsidRDefault="00B92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A1ADC" id="_x0000_s1029" type="#_x0000_t202" style="position:absolute;left:0;text-align:left;margin-left:12pt;margin-top:14.25pt;width:443.95pt;height: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">
                <v:textbox>
                  <w:txbxContent>
                    <w:p w14:paraId="29C59403" w14:textId="2BDA4F1B" w:rsidR="00B92A0C" w:rsidRDefault="00B92A0C" w:rsidP="00B92A0C">
                      <w:pPr>
                        <w:pStyle w:val="ListParagraph"/>
                        <w:numPr>
                          <w:ilvl w:val="0"/>
                          <w:numId w:val="9"/>
                        </w:numPr>
                        <w:spacing w:line="360" w:lineRule="auto"/>
                        <w:jc w:val="both"/>
                        <w:rPr>
                          <w:rFonts w:ascii="Times New Roman" w:hAnsi="Times New Roman" w:cs="Times New Roman"/>
                          <w:sz w:val="24"/>
                          <w:szCs w:val="24"/>
                        </w:rPr>
                      </w:pPr>
                      <w:r w:rsidRPr="00B92A0C">
                        <w:rPr>
                          <w:rFonts w:ascii="Times New Roman" w:hAnsi="Times New Roman" w:cs="Times New Roman"/>
                          <w:sz w:val="24"/>
                          <w:szCs w:val="24"/>
                        </w:rPr>
                        <w:t>cases where the lender COULD have exercised the power of sale properly, but failed, say, to operate the mechanics of giving notice properly</w:t>
                      </w:r>
                      <w:r>
                        <w:rPr>
                          <w:rFonts w:ascii="Times New Roman" w:hAnsi="Times New Roman" w:cs="Times New Roman"/>
                          <w:sz w:val="24"/>
                          <w:szCs w:val="24"/>
                        </w:rPr>
                        <w:t xml:space="preserve">; and </w:t>
                      </w:r>
                    </w:p>
                    <w:p w14:paraId="1BCC0FCF" w14:textId="77777777" w:rsidR="00B92A0C" w:rsidRDefault="00B92A0C" w:rsidP="00B92A0C">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cases where the lender COULD NOT have exercised the power of sale at that time. </w:t>
                      </w:r>
                    </w:p>
                    <w:p w14:paraId="2BD13AEA" w14:textId="52E2AE45" w:rsidR="00B92A0C" w:rsidRDefault="00B92A0C"/>
                  </w:txbxContent>
                </v:textbox>
                <w10:wrap type="square"/>
              </v:shape>
            </w:pict>
          </mc:Fallback>
        </mc:AlternateContent>
      </w:r>
    </w:p>
    <w:p w14:paraId="69387EFB" w14:textId="73A9337A" w:rsidR="00B92A0C" w:rsidRPr="00B92A0C" w:rsidRDefault="00B92A0C" w:rsidP="00B92A0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Sale possible </w:t>
      </w:r>
    </w:p>
    <w:p w14:paraId="5D72C40D" w14:textId="40866FCF" w:rsidR="00811792" w:rsidRPr="00811792" w:rsidRDefault="00B92A0C" w:rsidP="00811792">
      <w:pPr>
        <w:spacing w:line="360" w:lineRule="auto"/>
        <w:jc w:val="both"/>
        <w:rPr>
          <w:rFonts w:ascii="Times New Roman" w:hAnsi="Times New Roman" w:cs="Times New Roman"/>
          <w:sz w:val="24"/>
          <w:szCs w:val="24"/>
        </w:rPr>
      </w:pPr>
      <w:r w:rsidRPr="00811792">
        <w:rPr>
          <w:rFonts w:ascii="Times New Roman" w:hAnsi="Times New Roman" w:cs="Times New Roman"/>
          <w:sz w:val="24"/>
          <w:szCs w:val="24"/>
        </w:rPr>
        <w:t xml:space="preserve">We consider that it will be extremely difficult for claimants in the first type of case to establish any loss.  The comparison there will almost always operate on the basis that a sale would have </w:t>
      </w:r>
      <w:r w:rsidRPr="00811792">
        <w:rPr>
          <w:rFonts w:ascii="Times New Roman" w:hAnsi="Times New Roman" w:cs="Times New Roman"/>
          <w:sz w:val="24"/>
          <w:szCs w:val="24"/>
        </w:rPr>
        <w:lastRenderedPageBreak/>
        <w:t xml:space="preserve">occurred anyway, and the question is whether the purchaser would have paid any different price if the sale had not been wrongful.  </w:t>
      </w:r>
      <w:r w:rsidR="00B05E4B">
        <w:rPr>
          <w:rFonts w:ascii="Times New Roman" w:hAnsi="Times New Roman" w:cs="Times New Roman"/>
          <w:sz w:val="24"/>
          <w:szCs w:val="24"/>
        </w:rPr>
        <w:t>T</w:t>
      </w:r>
      <w:r w:rsidRPr="00811792">
        <w:rPr>
          <w:rFonts w:ascii="Times New Roman" w:hAnsi="Times New Roman" w:cs="Times New Roman"/>
          <w:sz w:val="24"/>
          <w:szCs w:val="24"/>
        </w:rPr>
        <w:t>he purchaser will get a good title</w:t>
      </w:r>
      <w:r w:rsidR="00B05E4B">
        <w:rPr>
          <w:rFonts w:ascii="Times New Roman" w:hAnsi="Times New Roman" w:cs="Times New Roman"/>
          <w:sz w:val="24"/>
          <w:szCs w:val="24"/>
        </w:rPr>
        <w:t xml:space="preserve"> </w:t>
      </w:r>
      <w:proofErr w:type="gramStart"/>
      <w:r w:rsidR="00B05E4B">
        <w:rPr>
          <w:rFonts w:ascii="Times New Roman" w:hAnsi="Times New Roman" w:cs="Times New Roman"/>
          <w:sz w:val="24"/>
          <w:szCs w:val="24"/>
        </w:rPr>
        <w:t>as a result of</w:t>
      </w:r>
      <w:proofErr w:type="gramEnd"/>
      <w:r w:rsidR="00B05E4B">
        <w:rPr>
          <w:rFonts w:ascii="Times New Roman" w:hAnsi="Times New Roman" w:cs="Times New Roman"/>
          <w:sz w:val="24"/>
          <w:szCs w:val="24"/>
        </w:rPr>
        <w:t xml:space="preserve"> the ‘statutory magic’</w:t>
      </w:r>
      <w:r w:rsidRPr="00811792">
        <w:rPr>
          <w:rFonts w:ascii="Times New Roman" w:hAnsi="Times New Roman" w:cs="Times New Roman"/>
          <w:sz w:val="24"/>
          <w:szCs w:val="24"/>
        </w:rPr>
        <w:t>, so the</w:t>
      </w:r>
      <w:r w:rsidR="00B05E4B">
        <w:rPr>
          <w:rFonts w:ascii="Times New Roman" w:hAnsi="Times New Roman" w:cs="Times New Roman"/>
          <w:sz w:val="24"/>
          <w:szCs w:val="24"/>
        </w:rPr>
        <w:t xml:space="preserve"> fact that the sale is wrongful provides</w:t>
      </w:r>
      <w:r w:rsidRPr="00811792">
        <w:rPr>
          <w:rFonts w:ascii="Times New Roman" w:hAnsi="Times New Roman" w:cs="Times New Roman"/>
          <w:sz w:val="24"/>
          <w:szCs w:val="24"/>
        </w:rPr>
        <w:t xml:space="preserve"> no reason for the purchaser to pay less than full value for the pr</w:t>
      </w:r>
      <w:r w:rsidR="00B05E4B">
        <w:rPr>
          <w:rFonts w:ascii="Times New Roman" w:hAnsi="Times New Roman" w:cs="Times New Roman"/>
          <w:sz w:val="24"/>
          <w:szCs w:val="24"/>
        </w:rPr>
        <w:t>operty</w:t>
      </w:r>
      <w:r w:rsidRPr="00811792">
        <w:rPr>
          <w:rFonts w:ascii="Times New Roman" w:hAnsi="Times New Roman" w:cs="Times New Roman"/>
          <w:sz w:val="24"/>
          <w:szCs w:val="24"/>
        </w:rPr>
        <w:t>.</w:t>
      </w:r>
      <w:r w:rsidR="00811792" w:rsidRPr="00811792">
        <w:rPr>
          <w:rFonts w:ascii="Times New Roman" w:hAnsi="Times New Roman" w:cs="Times New Roman"/>
          <w:sz w:val="24"/>
          <w:szCs w:val="24"/>
        </w:rPr>
        <w:t xml:space="preserve">  (Of course, if the lender failed to </w:t>
      </w:r>
      <w:r w:rsidR="00E92B05">
        <w:rPr>
          <w:rFonts w:ascii="Times New Roman" w:hAnsi="Times New Roman" w:cs="Times New Roman"/>
          <w:sz w:val="24"/>
          <w:szCs w:val="24"/>
        </w:rPr>
        <w:t xml:space="preserve">take reasonable care to </w:t>
      </w:r>
      <w:r w:rsidR="00811792" w:rsidRPr="00811792">
        <w:rPr>
          <w:rFonts w:ascii="Times New Roman" w:hAnsi="Times New Roman" w:cs="Times New Roman"/>
          <w:sz w:val="24"/>
          <w:szCs w:val="24"/>
        </w:rPr>
        <w:t xml:space="preserve">achieve </w:t>
      </w:r>
      <w:r w:rsidR="00E92B05">
        <w:rPr>
          <w:rFonts w:ascii="Times New Roman" w:hAnsi="Times New Roman" w:cs="Times New Roman"/>
          <w:sz w:val="24"/>
          <w:szCs w:val="24"/>
        </w:rPr>
        <w:t>a proper price</w:t>
      </w:r>
      <w:r w:rsidR="00811792" w:rsidRPr="00811792">
        <w:rPr>
          <w:rFonts w:ascii="Times New Roman" w:hAnsi="Times New Roman" w:cs="Times New Roman"/>
          <w:sz w:val="24"/>
          <w:szCs w:val="24"/>
        </w:rPr>
        <w:t>, the borrower could claim damages for breach of the equitable duty whether the sale was wrongful or not without having to rely on section 104(2)</w:t>
      </w:r>
      <w:r w:rsidR="00E92B05">
        <w:rPr>
          <w:rFonts w:ascii="Times New Roman" w:hAnsi="Times New Roman" w:cs="Times New Roman"/>
          <w:sz w:val="24"/>
          <w:szCs w:val="24"/>
        </w:rPr>
        <w:t xml:space="preserve">: </w:t>
      </w:r>
      <w:r w:rsidR="00E92B05" w:rsidRPr="00932FB9">
        <w:rPr>
          <w:rFonts w:ascii="Times New Roman" w:hAnsi="Times New Roman" w:cs="Times New Roman"/>
          <w:i/>
          <w:iCs/>
          <w:sz w:val="24"/>
          <w:szCs w:val="24"/>
        </w:rPr>
        <w:t>Cuckmere Brick Co v Mutual Finance</w:t>
      </w:r>
      <w:r w:rsidR="00E92B05" w:rsidRPr="00707258">
        <w:rPr>
          <w:rFonts w:ascii="Times New Roman" w:hAnsi="Times New Roman" w:cs="Times New Roman"/>
          <w:sz w:val="24"/>
          <w:szCs w:val="24"/>
        </w:rPr>
        <w:t xml:space="preserve"> [1971] Ch. 949</w:t>
      </w:r>
      <w:r w:rsidR="00E92B05">
        <w:rPr>
          <w:rFonts w:ascii="Times New Roman" w:hAnsi="Times New Roman" w:cs="Times New Roman"/>
          <w:sz w:val="24"/>
          <w:szCs w:val="24"/>
        </w:rPr>
        <w:t>)</w:t>
      </w:r>
      <w:r w:rsidR="005B6925">
        <w:rPr>
          <w:rFonts w:ascii="Times New Roman" w:hAnsi="Times New Roman" w:cs="Times New Roman"/>
          <w:sz w:val="24"/>
          <w:szCs w:val="24"/>
        </w:rPr>
        <w:t>.</w:t>
      </w:r>
    </w:p>
    <w:p w14:paraId="06870AFD" w14:textId="16D81ADD" w:rsidR="00B92A0C" w:rsidRDefault="00B92A0C" w:rsidP="00B92A0C">
      <w:pPr>
        <w:spacing w:line="360" w:lineRule="auto"/>
        <w:jc w:val="both"/>
        <w:rPr>
          <w:rFonts w:ascii="Times New Roman" w:hAnsi="Times New Roman" w:cs="Times New Roman"/>
          <w:sz w:val="24"/>
          <w:szCs w:val="24"/>
        </w:rPr>
      </w:pPr>
    </w:p>
    <w:p w14:paraId="2498B5BD" w14:textId="2889A649" w:rsidR="00811792" w:rsidRDefault="00811792" w:rsidP="00B92A0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Sale not possible </w:t>
      </w:r>
    </w:p>
    <w:p w14:paraId="1439CB28" w14:textId="14747D9F" w:rsidR="005967F2" w:rsidRDefault="00B05E4B" w:rsidP="007632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claimant may be able to show that had the sale taken place later, the property might have increased in value – or that he would have received more if the sale was later for some other reason, such as he would in the meantime have been able to clear off a wrongly registered prior charge.  Here the assessment of damages would be reasonably straight-forward: one simply compares the amount the claimant received from the wrongful sale and the amount he </w:t>
      </w:r>
      <w:r w:rsidR="002B627E">
        <w:rPr>
          <w:rFonts w:ascii="Times New Roman" w:hAnsi="Times New Roman" w:cs="Times New Roman"/>
          <w:sz w:val="24"/>
          <w:szCs w:val="24"/>
        </w:rPr>
        <w:t>sh</w:t>
      </w:r>
      <w:r>
        <w:rPr>
          <w:rFonts w:ascii="Times New Roman" w:hAnsi="Times New Roman" w:cs="Times New Roman"/>
          <w:sz w:val="24"/>
          <w:szCs w:val="24"/>
        </w:rPr>
        <w:t xml:space="preserve">ould have received from </w:t>
      </w:r>
      <w:r w:rsidR="005F4D6D">
        <w:rPr>
          <w:rFonts w:ascii="Times New Roman" w:hAnsi="Times New Roman" w:cs="Times New Roman"/>
          <w:sz w:val="24"/>
          <w:szCs w:val="24"/>
        </w:rPr>
        <w:t>a</w:t>
      </w:r>
      <w:r>
        <w:rPr>
          <w:rFonts w:ascii="Times New Roman" w:hAnsi="Times New Roman" w:cs="Times New Roman"/>
          <w:sz w:val="24"/>
          <w:szCs w:val="24"/>
        </w:rPr>
        <w:t xml:space="preserve"> </w:t>
      </w:r>
      <w:r w:rsidR="00856158">
        <w:rPr>
          <w:rFonts w:ascii="Times New Roman" w:hAnsi="Times New Roman" w:cs="Times New Roman"/>
          <w:sz w:val="24"/>
          <w:szCs w:val="24"/>
        </w:rPr>
        <w:t xml:space="preserve">later, </w:t>
      </w:r>
      <w:r>
        <w:rPr>
          <w:rFonts w:ascii="Times New Roman" w:hAnsi="Times New Roman" w:cs="Times New Roman"/>
          <w:sz w:val="24"/>
          <w:szCs w:val="24"/>
        </w:rPr>
        <w:t>rightful sale.</w:t>
      </w:r>
      <w:r w:rsidR="005967F2">
        <w:rPr>
          <w:rFonts w:ascii="Times New Roman" w:hAnsi="Times New Roman" w:cs="Times New Roman"/>
          <w:sz w:val="24"/>
          <w:szCs w:val="24"/>
        </w:rPr>
        <w:t xml:space="preserve">  </w:t>
      </w:r>
      <w:r w:rsidR="007447DB">
        <w:rPr>
          <w:rFonts w:ascii="Times New Roman" w:hAnsi="Times New Roman" w:cs="Times New Roman"/>
          <w:sz w:val="24"/>
          <w:szCs w:val="24"/>
        </w:rPr>
        <w:t>We consider that t</w:t>
      </w:r>
      <w:r w:rsidR="005967F2">
        <w:rPr>
          <w:rFonts w:ascii="Times New Roman" w:hAnsi="Times New Roman" w:cs="Times New Roman"/>
          <w:sz w:val="24"/>
          <w:szCs w:val="24"/>
        </w:rPr>
        <w:t>his is not simply a question of comparing the</w:t>
      </w:r>
      <w:r w:rsidR="0076321D">
        <w:rPr>
          <w:rFonts w:ascii="Times New Roman" w:hAnsi="Times New Roman" w:cs="Times New Roman"/>
          <w:sz w:val="24"/>
          <w:szCs w:val="24"/>
        </w:rPr>
        <w:t xml:space="preserve"> </w:t>
      </w:r>
      <w:proofErr w:type="gramStart"/>
      <w:r w:rsidR="0076321D">
        <w:rPr>
          <w:rFonts w:ascii="Times New Roman" w:hAnsi="Times New Roman" w:cs="Times New Roman"/>
          <w:sz w:val="24"/>
          <w:szCs w:val="24"/>
        </w:rPr>
        <w:t xml:space="preserve">net </w:t>
      </w:r>
      <w:r w:rsidR="005967F2">
        <w:rPr>
          <w:rFonts w:ascii="Times New Roman" w:hAnsi="Times New Roman" w:cs="Times New Roman"/>
          <w:sz w:val="24"/>
          <w:szCs w:val="24"/>
        </w:rPr>
        <w:t xml:space="preserve"> proceeds</w:t>
      </w:r>
      <w:proofErr w:type="gramEnd"/>
      <w:r w:rsidR="005967F2">
        <w:rPr>
          <w:rFonts w:ascii="Times New Roman" w:hAnsi="Times New Roman" w:cs="Times New Roman"/>
          <w:sz w:val="24"/>
          <w:szCs w:val="24"/>
        </w:rPr>
        <w:t xml:space="preserve"> of sale: it is also necessary to consider </w:t>
      </w:r>
      <w:r w:rsidR="0076321D">
        <w:rPr>
          <w:rFonts w:ascii="Times New Roman" w:hAnsi="Times New Roman" w:cs="Times New Roman"/>
          <w:sz w:val="24"/>
          <w:szCs w:val="24"/>
        </w:rPr>
        <w:t xml:space="preserve">whether, say, the mortgagor has lost profit that it would otherwise have made from the property during the period prior to the rightful sale, or, conversely, any extra costs which the mortgagor has incurred during this period.  </w:t>
      </w:r>
    </w:p>
    <w:p w14:paraId="3AEE8BA3" w14:textId="0CBF9411" w:rsidR="00231B61" w:rsidRDefault="005F4D6D" w:rsidP="005F4D6D">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B05E4B">
        <w:rPr>
          <w:rFonts w:ascii="Times New Roman" w:hAnsi="Times New Roman" w:cs="Times New Roman"/>
          <w:sz w:val="24"/>
          <w:szCs w:val="24"/>
        </w:rPr>
        <w:t>f a</w:t>
      </w:r>
      <w:r w:rsidR="00811792">
        <w:rPr>
          <w:rFonts w:ascii="Times New Roman" w:hAnsi="Times New Roman" w:cs="Times New Roman"/>
          <w:sz w:val="24"/>
          <w:szCs w:val="24"/>
        </w:rPr>
        <w:t xml:space="preserve"> claimant borrower c</w:t>
      </w:r>
      <w:r>
        <w:rPr>
          <w:rFonts w:ascii="Times New Roman" w:hAnsi="Times New Roman" w:cs="Times New Roman"/>
          <w:sz w:val="24"/>
          <w:szCs w:val="24"/>
        </w:rPr>
        <w:t>ould</w:t>
      </w:r>
      <w:r w:rsidR="00811792">
        <w:rPr>
          <w:rFonts w:ascii="Times New Roman" w:hAnsi="Times New Roman" w:cs="Times New Roman"/>
          <w:sz w:val="24"/>
          <w:szCs w:val="24"/>
        </w:rPr>
        <w:t xml:space="preserve"> show that</w:t>
      </w:r>
      <w:r>
        <w:rPr>
          <w:rFonts w:ascii="Times New Roman" w:hAnsi="Times New Roman" w:cs="Times New Roman"/>
          <w:sz w:val="24"/>
          <w:szCs w:val="24"/>
        </w:rPr>
        <w:t xml:space="preserve"> he would have been able to prevent a sale occurring at all (</w:t>
      </w:r>
      <w:r w:rsidR="007447DB">
        <w:rPr>
          <w:rFonts w:ascii="Times New Roman" w:hAnsi="Times New Roman" w:cs="Times New Roman"/>
          <w:sz w:val="24"/>
          <w:szCs w:val="24"/>
        </w:rPr>
        <w:t xml:space="preserve">for example </w:t>
      </w:r>
      <w:r>
        <w:rPr>
          <w:rFonts w:ascii="Times New Roman" w:hAnsi="Times New Roman" w:cs="Times New Roman"/>
          <w:sz w:val="24"/>
          <w:szCs w:val="24"/>
        </w:rPr>
        <w:t xml:space="preserve">because he would have remedied the default, or redeemed the mortgage before the power of sale arose) </w:t>
      </w:r>
      <w:r w:rsidR="00231B61">
        <w:rPr>
          <w:rFonts w:ascii="Times New Roman" w:hAnsi="Times New Roman" w:cs="Times New Roman"/>
          <w:sz w:val="24"/>
          <w:szCs w:val="24"/>
        </w:rPr>
        <w:t>much more interesting questions</w:t>
      </w:r>
      <w:r>
        <w:rPr>
          <w:rFonts w:ascii="Times New Roman" w:hAnsi="Times New Roman" w:cs="Times New Roman"/>
          <w:sz w:val="24"/>
          <w:szCs w:val="24"/>
        </w:rPr>
        <w:t xml:space="preserve"> arise</w:t>
      </w:r>
      <w:r w:rsidR="00231B61">
        <w:rPr>
          <w:rFonts w:ascii="Times New Roman" w:hAnsi="Times New Roman" w:cs="Times New Roman"/>
          <w:sz w:val="24"/>
          <w:szCs w:val="24"/>
        </w:rPr>
        <w:t xml:space="preserve">.  Is the borrower to be confined to the difference between the sale price and the value of the property (if any)?  If so, the section adds little to the ability to claim damages in the event of a sale at an undervalue (which </w:t>
      </w:r>
      <w:r>
        <w:rPr>
          <w:rFonts w:ascii="Times New Roman" w:hAnsi="Times New Roman" w:cs="Times New Roman"/>
          <w:sz w:val="24"/>
          <w:szCs w:val="24"/>
        </w:rPr>
        <w:t>exists</w:t>
      </w:r>
      <w:r w:rsidR="00231B61">
        <w:rPr>
          <w:rFonts w:ascii="Times New Roman" w:hAnsi="Times New Roman" w:cs="Times New Roman"/>
          <w:sz w:val="24"/>
          <w:szCs w:val="24"/>
        </w:rPr>
        <w:t xml:space="preserve"> even if the power of sale is</w:t>
      </w:r>
      <w:r w:rsidR="003D04F8">
        <w:rPr>
          <w:rFonts w:ascii="Times New Roman" w:hAnsi="Times New Roman" w:cs="Times New Roman"/>
          <w:sz w:val="24"/>
          <w:szCs w:val="24"/>
        </w:rPr>
        <w:t xml:space="preserve"> validly exercised</w:t>
      </w:r>
      <w:r w:rsidR="00231B61">
        <w:rPr>
          <w:rFonts w:ascii="Times New Roman" w:hAnsi="Times New Roman" w:cs="Times New Roman"/>
          <w:sz w:val="24"/>
          <w:szCs w:val="24"/>
        </w:rPr>
        <w:t xml:space="preserve">), and risks leaving the borrower undercompensated.  That does not feel right. </w:t>
      </w:r>
      <w:r w:rsidR="007447DB">
        <w:rPr>
          <w:rFonts w:ascii="Times New Roman" w:hAnsi="Times New Roman" w:cs="Times New Roman"/>
          <w:sz w:val="24"/>
          <w:szCs w:val="24"/>
        </w:rPr>
        <w:t xml:space="preserve"> </w:t>
      </w:r>
    </w:p>
    <w:p w14:paraId="78461869" w14:textId="4D88A67A" w:rsidR="007447DB" w:rsidRDefault="00A22DC3" w:rsidP="005F4D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 it is not, in our view, right in principle either.  The </w:t>
      </w:r>
      <w:r w:rsidR="009B70AF">
        <w:rPr>
          <w:rFonts w:ascii="Times New Roman" w:hAnsi="Times New Roman" w:cs="Times New Roman"/>
          <w:sz w:val="24"/>
          <w:szCs w:val="24"/>
        </w:rPr>
        <w:t xml:space="preserve">claim is based on breach of an </w:t>
      </w:r>
      <w:r>
        <w:rPr>
          <w:rFonts w:ascii="Times New Roman" w:hAnsi="Times New Roman" w:cs="Times New Roman"/>
          <w:sz w:val="24"/>
          <w:szCs w:val="24"/>
        </w:rPr>
        <w:t>equit</w:t>
      </w:r>
      <w:r w:rsidR="009B70AF">
        <w:rPr>
          <w:rFonts w:ascii="Times New Roman" w:hAnsi="Times New Roman" w:cs="Times New Roman"/>
          <w:sz w:val="24"/>
          <w:szCs w:val="24"/>
        </w:rPr>
        <w:t>able duty</w:t>
      </w:r>
      <w:r>
        <w:rPr>
          <w:rFonts w:ascii="Times New Roman" w:hAnsi="Times New Roman" w:cs="Times New Roman"/>
          <w:sz w:val="24"/>
          <w:szCs w:val="24"/>
        </w:rPr>
        <w:t xml:space="preserve">.  Equitable compensation rules, not common law damages rules, ought, therefore, to apply.  This means that compensation should be assessed at the date of the trial, with the benefit of hindsight, so that whether the losses were foreseeable should be irrelevant: </w:t>
      </w:r>
      <w:r>
        <w:rPr>
          <w:rFonts w:ascii="Times New Roman" w:hAnsi="Times New Roman" w:cs="Times New Roman"/>
          <w:i/>
          <w:iCs/>
          <w:sz w:val="24"/>
          <w:szCs w:val="24"/>
        </w:rPr>
        <w:t xml:space="preserve">AIB Group (UK) plc v Mark Redler &amp; Co Solicitors </w:t>
      </w:r>
      <w:r>
        <w:rPr>
          <w:rFonts w:ascii="Times New Roman" w:hAnsi="Times New Roman" w:cs="Times New Roman"/>
          <w:sz w:val="24"/>
          <w:szCs w:val="24"/>
        </w:rPr>
        <w:t xml:space="preserve">[2015] AC 1503 at [135].  The </w:t>
      </w:r>
      <w:r w:rsidR="007447DB">
        <w:rPr>
          <w:rFonts w:ascii="Times New Roman" w:hAnsi="Times New Roman" w:cs="Times New Roman"/>
          <w:sz w:val="24"/>
          <w:szCs w:val="24"/>
        </w:rPr>
        <w:t xml:space="preserve">borrower should be able to </w:t>
      </w:r>
      <w:r w:rsidR="007447DB">
        <w:rPr>
          <w:rFonts w:ascii="Times New Roman" w:hAnsi="Times New Roman" w:cs="Times New Roman"/>
          <w:sz w:val="24"/>
          <w:szCs w:val="24"/>
        </w:rPr>
        <w:lastRenderedPageBreak/>
        <w:t xml:space="preserve">recover </w:t>
      </w:r>
      <w:r w:rsidR="00AA7830">
        <w:rPr>
          <w:rFonts w:ascii="Times New Roman" w:hAnsi="Times New Roman" w:cs="Times New Roman"/>
          <w:sz w:val="24"/>
          <w:szCs w:val="24"/>
        </w:rPr>
        <w:t>any losses which arise, so long as there is some reasonable</w:t>
      </w:r>
      <w:r>
        <w:rPr>
          <w:rFonts w:ascii="Times New Roman" w:hAnsi="Times New Roman" w:cs="Times New Roman"/>
          <w:sz w:val="24"/>
          <w:szCs w:val="24"/>
        </w:rPr>
        <w:t xml:space="preserve"> causal </w:t>
      </w:r>
      <w:r w:rsidR="00AA7830">
        <w:rPr>
          <w:rFonts w:ascii="Times New Roman" w:hAnsi="Times New Roman" w:cs="Times New Roman"/>
          <w:sz w:val="24"/>
          <w:szCs w:val="24"/>
        </w:rPr>
        <w:t>connection between the breach of duty and the</w:t>
      </w:r>
      <w:r w:rsidR="00D80BFA">
        <w:rPr>
          <w:rFonts w:ascii="Times New Roman" w:hAnsi="Times New Roman" w:cs="Times New Roman"/>
          <w:sz w:val="24"/>
          <w:szCs w:val="24"/>
        </w:rPr>
        <w:t xml:space="preserve"> losses claimed, by analogy with the rule that is applied when a fiduciary is obliged to account for profits made by reason of a breach of duty: </w:t>
      </w:r>
      <w:r w:rsidR="00D80BFA" w:rsidRPr="00932FB9">
        <w:rPr>
          <w:rFonts w:ascii="Times New Roman" w:hAnsi="Times New Roman" w:cs="Times New Roman"/>
          <w:i/>
          <w:iCs/>
          <w:sz w:val="24"/>
          <w:szCs w:val="24"/>
        </w:rPr>
        <w:t>CMS Dolphin Ltd v Simonet</w:t>
      </w:r>
      <w:r w:rsidR="00D80BFA" w:rsidRPr="00934D5B">
        <w:rPr>
          <w:rFonts w:ascii="Times New Roman" w:hAnsi="Times New Roman" w:cs="Times New Roman"/>
          <w:sz w:val="24"/>
          <w:szCs w:val="24"/>
        </w:rPr>
        <w:t xml:space="preserve"> [2001] EWHC 415 (Ch) at [97]</w:t>
      </w:r>
      <w:r w:rsidR="00D80BFA">
        <w:rPr>
          <w:rFonts w:ascii="Times New Roman" w:hAnsi="Times New Roman" w:cs="Times New Roman"/>
          <w:sz w:val="24"/>
          <w:szCs w:val="24"/>
        </w:rPr>
        <w:t>.</w:t>
      </w:r>
      <w:r>
        <w:rPr>
          <w:rFonts w:ascii="Times New Roman" w:hAnsi="Times New Roman" w:cs="Times New Roman"/>
          <w:sz w:val="24"/>
          <w:szCs w:val="24"/>
        </w:rPr>
        <w:t xml:space="preserve">   In our view, there is scope for a significant claim in this scenario. </w:t>
      </w:r>
      <w:r w:rsidR="00D80BFA">
        <w:rPr>
          <w:rFonts w:ascii="Times New Roman" w:hAnsi="Times New Roman" w:cs="Times New Roman"/>
          <w:sz w:val="24"/>
          <w:szCs w:val="24"/>
        </w:rPr>
        <w:t xml:space="preserve"> </w:t>
      </w:r>
      <w:r w:rsidR="00F8666D">
        <w:rPr>
          <w:rFonts w:ascii="Times New Roman" w:hAnsi="Times New Roman" w:cs="Times New Roman"/>
          <w:sz w:val="24"/>
          <w:szCs w:val="24"/>
        </w:rPr>
        <w:t xml:space="preserve"> </w:t>
      </w:r>
    </w:p>
    <w:p w14:paraId="4B7DD4D3" w14:textId="3569B67F" w:rsidR="003D04F8" w:rsidRDefault="003D04F8" w:rsidP="00B92A0C">
      <w:pPr>
        <w:spacing w:line="360" w:lineRule="auto"/>
        <w:jc w:val="both"/>
        <w:rPr>
          <w:rFonts w:ascii="Times New Roman" w:hAnsi="Times New Roman" w:cs="Times New Roman"/>
          <w:sz w:val="24"/>
          <w:szCs w:val="24"/>
        </w:rPr>
      </w:pPr>
    </w:p>
    <w:p w14:paraId="23452344" w14:textId="5DC5F425" w:rsidR="002974BE" w:rsidRDefault="002974BE" w:rsidP="00B92A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article first appeared in the December issue of Butterworths </w:t>
      </w:r>
      <w:r w:rsidR="00411CE0">
        <w:rPr>
          <w:rFonts w:ascii="Times New Roman" w:hAnsi="Times New Roman" w:cs="Times New Roman"/>
          <w:sz w:val="24"/>
          <w:szCs w:val="24"/>
        </w:rPr>
        <w:t>Journal of International Banking and Finance Law.</w:t>
      </w:r>
    </w:p>
    <w:p w14:paraId="7514C1E5" w14:textId="47CAE168" w:rsidR="003E3577" w:rsidRDefault="00483FEC" w:rsidP="006E1943">
      <w:pPr>
        <w:spacing w:line="360" w:lineRule="auto"/>
        <w:jc w:val="both"/>
        <w:rPr>
          <w:i/>
          <w:iCs/>
          <w:sz w:val="23"/>
          <w:szCs w:val="23"/>
        </w:rPr>
      </w:pPr>
      <w:r>
        <w:rPr>
          <w:rFonts w:ascii="Times New Roman" w:hAnsi="Times New Roman" w:cs="Times New Roman"/>
          <w:i/>
          <w:iCs/>
          <w:sz w:val="24"/>
          <w:szCs w:val="24"/>
        </w:rPr>
        <w:t>Disclaimer: This article</w:t>
      </w:r>
      <w:r>
        <w:rPr>
          <w:i/>
          <w:iCs/>
          <w:sz w:val="23"/>
          <w:szCs w:val="23"/>
        </w:rPr>
        <w:t xml:space="preserve"> is provided for educational purposes only.  It is not intended to, and does not, give or contain legal advice, and it should not be relied on as a basis for taking any course of action or for the purposes of giving legal advice.  </w:t>
      </w:r>
    </w:p>
    <w:p w14:paraId="2601CA89" w14:textId="77777777" w:rsidR="00FF2F45" w:rsidRDefault="00FF2F45" w:rsidP="00FF2F45">
      <w:pPr>
        <w:spacing w:line="360" w:lineRule="auto"/>
        <w:ind w:left="6480"/>
        <w:jc w:val="both"/>
        <w:rPr>
          <w:rFonts w:ascii="Times New Roman" w:hAnsi="Times New Roman" w:cs="Times New Roman"/>
          <w:sz w:val="24"/>
          <w:szCs w:val="24"/>
        </w:rPr>
      </w:pPr>
      <w:r>
        <w:rPr>
          <w:rFonts w:ascii="Times New Roman" w:hAnsi="Times New Roman" w:cs="Times New Roman"/>
          <w:sz w:val="24"/>
          <w:szCs w:val="24"/>
        </w:rPr>
        <w:t>STEPHANIE TOZER KC</w:t>
      </w:r>
    </w:p>
    <w:p w14:paraId="2DC3B2FA" w14:textId="77777777" w:rsidR="00FF2F45" w:rsidRDefault="00FF2F45" w:rsidP="00FF2F45">
      <w:pPr>
        <w:spacing w:line="360" w:lineRule="auto"/>
        <w:ind w:left="6480"/>
        <w:jc w:val="both"/>
        <w:rPr>
          <w:rFonts w:ascii="Times New Roman" w:hAnsi="Times New Roman" w:cs="Times New Roman"/>
          <w:sz w:val="24"/>
          <w:szCs w:val="24"/>
        </w:rPr>
      </w:pPr>
      <w:r>
        <w:rPr>
          <w:rFonts w:ascii="Times New Roman" w:hAnsi="Times New Roman" w:cs="Times New Roman"/>
          <w:sz w:val="24"/>
          <w:szCs w:val="24"/>
        </w:rPr>
        <w:t>KAVISH SHAH</w:t>
      </w:r>
    </w:p>
    <w:p w14:paraId="2D22AADE" w14:textId="77777777" w:rsidR="00FF2F45" w:rsidRPr="00483FEC" w:rsidRDefault="00FF2F45" w:rsidP="006E1943">
      <w:pPr>
        <w:spacing w:line="360" w:lineRule="auto"/>
        <w:jc w:val="both"/>
        <w:rPr>
          <w:rFonts w:ascii="Times New Roman" w:hAnsi="Times New Roman" w:cs="Times New Roman"/>
          <w:i/>
          <w:iCs/>
          <w:sz w:val="24"/>
          <w:szCs w:val="24"/>
        </w:rPr>
      </w:pPr>
    </w:p>
    <w:p w14:paraId="27F2F662" w14:textId="77777777" w:rsidR="00483FEC" w:rsidRDefault="00483FEC" w:rsidP="006E1943">
      <w:pPr>
        <w:spacing w:line="360" w:lineRule="auto"/>
        <w:jc w:val="both"/>
        <w:rPr>
          <w:rFonts w:ascii="Times New Roman" w:hAnsi="Times New Roman" w:cs="Times New Roman"/>
          <w:sz w:val="24"/>
          <w:szCs w:val="24"/>
        </w:rPr>
      </w:pPr>
    </w:p>
    <w:p w14:paraId="0BE3E74D" w14:textId="5B8C2D4F" w:rsidR="000A453F" w:rsidRPr="006E1943" w:rsidRDefault="000A453F" w:rsidP="006E1943">
      <w:pPr>
        <w:spacing w:line="360" w:lineRule="auto"/>
        <w:jc w:val="both"/>
        <w:rPr>
          <w:rFonts w:ascii="Times New Roman" w:hAnsi="Times New Roman" w:cs="Times New Roman"/>
          <w:i/>
          <w:iCs/>
          <w:sz w:val="24"/>
          <w:szCs w:val="24"/>
        </w:rPr>
      </w:pPr>
    </w:p>
    <w:sectPr w:rsidR="000A453F" w:rsidRPr="006E19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876F" w14:textId="77777777" w:rsidR="00AD4964" w:rsidRDefault="00AD4964" w:rsidP="00675F50">
      <w:pPr>
        <w:spacing w:after="0" w:line="240" w:lineRule="auto"/>
      </w:pPr>
      <w:r>
        <w:separator/>
      </w:r>
    </w:p>
  </w:endnote>
  <w:endnote w:type="continuationSeparator" w:id="0">
    <w:p w14:paraId="013D7C05" w14:textId="77777777" w:rsidR="00AD4964" w:rsidRDefault="00AD4964" w:rsidP="0067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DBA4" w14:textId="77777777" w:rsidR="00675F50" w:rsidRDefault="0067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70F3" w14:textId="77777777" w:rsidR="00675F50" w:rsidRDefault="00675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2DA5" w14:textId="77777777" w:rsidR="00675F50" w:rsidRDefault="0067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868" w14:textId="77777777" w:rsidR="00AD4964" w:rsidRDefault="00AD4964" w:rsidP="00675F50">
      <w:pPr>
        <w:spacing w:after="0" w:line="240" w:lineRule="auto"/>
      </w:pPr>
      <w:r>
        <w:separator/>
      </w:r>
    </w:p>
  </w:footnote>
  <w:footnote w:type="continuationSeparator" w:id="0">
    <w:p w14:paraId="4037464A" w14:textId="77777777" w:rsidR="00AD4964" w:rsidRDefault="00AD4964" w:rsidP="0067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203" w14:textId="77777777" w:rsidR="00675F50" w:rsidRDefault="00675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D95C" w14:textId="1C064EAF" w:rsidR="00675F50" w:rsidRDefault="00675F50">
    <w:pPr>
      <w:pStyle w:val="Header"/>
    </w:pPr>
    <w:r>
      <w:t xml:space="preserve">                                                         </w:t>
    </w:r>
    <w:r>
      <w:rPr>
        <w:noProof/>
      </w:rPr>
      <w:drawing>
        <wp:inline distT="0" distB="0" distL="0" distR="0" wp14:anchorId="0D07285A" wp14:editId="4E804941">
          <wp:extent cx="1898542" cy="426993"/>
          <wp:effectExtent l="0" t="0" r="0" b="5080"/>
          <wp:docPr id="69944080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40805"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9200" cy="449631"/>
                  </a:xfrm>
                  <a:prstGeom prst="rect">
                    <a:avLst/>
                  </a:prstGeom>
                </pic:spPr>
              </pic:pic>
            </a:graphicData>
          </a:graphic>
        </wp:inline>
      </w:drawing>
    </w:r>
  </w:p>
  <w:p w14:paraId="1951C240" w14:textId="77777777" w:rsidR="00675F50" w:rsidRDefault="00675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F36C" w14:textId="77777777" w:rsidR="00675F50" w:rsidRDefault="00675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886"/>
    <w:multiLevelType w:val="hybridMultilevel"/>
    <w:tmpl w:val="B84CB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BE3D67"/>
    <w:multiLevelType w:val="hybridMultilevel"/>
    <w:tmpl w:val="E64CB604"/>
    <w:lvl w:ilvl="0" w:tplc="B3E01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F6394"/>
    <w:multiLevelType w:val="hybridMultilevel"/>
    <w:tmpl w:val="68C00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6E21D8"/>
    <w:multiLevelType w:val="hybridMultilevel"/>
    <w:tmpl w:val="A97ECE9A"/>
    <w:lvl w:ilvl="0" w:tplc="746E292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D4938"/>
    <w:multiLevelType w:val="hybridMultilevel"/>
    <w:tmpl w:val="7E644996"/>
    <w:lvl w:ilvl="0" w:tplc="D750B8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527CED"/>
    <w:multiLevelType w:val="hybridMultilevel"/>
    <w:tmpl w:val="DB0CD8BA"/>
    <w:lvl w:ilvl="0" w:tplc="F19A3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A454E1"/>
    <w:multiLevelType w:val="hybridMultilevel"/>
    <w:tmpl w:val="2C70392C"/>
    <w:lvl w:ilvl="0" w:tplc="72FA7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80941"/>
    <w:multiLevelType w:val="hybridMultilevel"/>
    <w:tmpl w:val="99865848"/>
    <w:lvl w:ilvl="0" w:tplc="8A7895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52CD2"/>
    <w:multiLevelType w:val="hybridMultilevel"/>
    <w:tmpl w:val="FCF6E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3196211">
    <w:abstractNumId w:val="7"/>
  </w:num>
  <w:num w:numId="2" w16cid:durableId="1944415508">
    <w:abstractNumId w:val="1"/>
  </w:num>
  <w:num w:numId="3" w16cid:durableId="2017031375">
    <w:abstractNumId w:val="4"/>
  </w:num>
  <w:num w:numId="4" w16cid:durableId="158466162">
    <w:abstractNumId w:val="6"/>
  </w:num>
  <w:num w:numId="5" w16cid:durableId="1211577044">
    <w:abstractNumId w:val="3"/>
  </w:num>
  <w:num w:numId="6" w16cid:durableId="1815680423">
    <w:abstractNumId w:val="0"/>
  </w:num>
  <w:num w:numId="7" w16cid:durableId="1376348795">
    <w:abstractNumId w:val="2"/>
  </w:num>
  <w:num w:numId="8" w16cid:durableId="554858353">
    <w:abstractNumId w:val="8"/>
  </w:num>
  <w:num w:numId="9" w16cid:durableId="1867256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F"/>
    <w:rsid w:val="00002D2C"/>
    <w:rsid w:val="0000559B"/>
    <w:rsid w:val="0001636A"/>
    <w:rsid w:val="00023C26"/>
    <w:rsid w:val="00035393"/>
    <w:rsid w:val="0005582D"/>
    <w:rsid w:val="0006439A"/>
    <w:rsid w:val="00070A6E"/>
    <w:rsid w:val="00076C3F"/>
    <w:rsid w:val="00085BB9"/>
    <w:rsid w:val="00090F07"/>
    <w:rsid w:val="00094A30"/>
    <w:rsid w:val="000A453F"/>
    <w:rsid w:val="000B17AB"/>
    <w:rsid w:val="000B3277"/>
    <w:rsid w:val="000B5266"/>
    <w:rsid w:val="000B7EEA"/>
    <w:rsid w:val="000C0D7C"/>
    <w:rsid w:val="000C254D"/>
    <w:rsid w:val="000F697A"/>
    <w:rsid w:val="00101314"/>
    <w:rsid w:val="00103559"/>
    <w:rsid w:val="00104D82"/>
    <w:rsid w:val="00111482"/>
    <w:rsid w:val="00127455"/>
    <w:rsid w:val="001405C5"/>
    <w:rsid w:val="00144CCD"/>
    <w:rsid w:val="001503DB"/>
    <w:rsid w:val="00152E6B"/>
    <w:rsid w:val="001605C9"/>
    <w:rsid w:val="001611A3"/>
    <w:rsid w:val="00166B2F"/>
    <w:rsid w:val="00170B83"/>
    <w:rsid w:val="001B7BC6"/>
    <w:rsid w:val="001F3734"/>
    <w:rsid w:val="00200D97"/>
    <w:rsid w:val="00206B13"/>
    <w:rsid w:val="0022265B"/>
    <w:rsid w:val="00227BEB"/>
    <w:rsid w:val="00231B61"/>
    <w:rsid w:val="00233850"/>
    <w:rsid w:val="0023405C"/>
    <w:rsid w:val="00235368"/>
    <w:rsid w:val="002455BF"/>
    <w:rsid w:val="00252B35"/>
    <w:rsid w:val="00280773"/>
    <w:rsid w:val="00285B4D"/>
    <w:rsid w:val="002928CA"/>
    <w:rsid w:val="00293D1E"/>
    <w:rsid w:val="00296527"/>
    <w:rsid w:val="002974BE"/>
    <w:rsid w:val="00297611"/>
    <w:rsid w:val="002A46BA"/>
    <w:rsid w:val="002B504E"/>
    <w:rsid w:val="002B627E"/>
    <w:rsid w:val="002C5148"/>
    <w:rsid w:val="00312947"/>
    <w:rsid w:val="00313628"/>
    <w:rsid w:val="00321E90"/>
    <w:rsid w:val="00322203"/>
    <w:rsid w:val="00326E3E"/>
    <w:rsid w:val="00342E5B"/>
    <w:rsid w:val="00350828"/>
    <w:rsid w:val="00352B37"/>
    <w:rsid w:val="003651DF"/>
    <w:rsid w:val="00366AF8"/>
    <w:rsid w:val="00380EE3"/>
    <w:rsid w:val="00382659"/>
    <w:rsid w:val="003913A0"/>
    <w:rsid w:val="00393CB9"/>
    <w:rsid w:val="0039413E"/>
    <w:rsid w:val="003A61A9"/>
    <w:rsid w:val="003B20C1"/>
    <w:rsid w:val="003C2FF3"/>
    <w:rsid w:val="003C305E"/>
    <w:rsid w:val="003C4736"/>
    <w:rsid w:val="003C5CB8"/>
    <w:rsid w:val="003D04F8"/>
    <w:rsid w:val="003E1C16"/>
    <w:rsid w:val="003E3577"/>
    <w:rsid w:val="003E4BFC"/>
    <w:rsid w:val="003F71AA"/>
    <w:rsid w:val="00402C72"/>
    <w:rsid w:val="00411CE0"/>
    <w:rsid w:val="004261B1"/>
    <w:rsid w:val="00447B5B"/>
    <w:rsid w:val="00453524"/>
    <w:rsid w:val="00457683"/>
    <w:rsid w:val="00460BD4"/>
    <w:rsid w:val="00471A5A"/>
    <w:rsid w:val="00472738"/>
    <w:rsid w:val="00475399"/>
    <w:rsid w:val="00483FEC"/>
    <w:rsid w:val="00494809"/>
    <w:rsid w:val="004971F5"/>
    <w:rsid w:val="004A1680"/>
    <w:rsid w:val="004C1913"/>
    <w:rsid w:val="004C19A2"/>
    <w:rsid w:val="004C1A5D"/>
    <w:rsid w:val="004D280C"/>
    <w:rsid w:val="004E74D5"/>
    <w:rsid w:val="004F37D1"/>
    <w:rsid w:val="004F6653"/>
    <w:rsid w:val="005050FD"/>
    <w:rsid w:val="005073F3"/>
    <w:rsid w:val="0052099F"/>
    <w:rsid w:val="00530814"/>
    <w:rsid w:val="005427F2"/>
    <w:rsid w:val="00553873"/>
    <w:rsid w:val="005555BB"/>
    <w:rsid w:val="00574EEE"/>
    <w:rsid w:val="00593C3C"/>
    <w:rsid w:val="005967F2"/>
    <w:rsid w:val="005A5C7B"/>
    <w:rsid w:val="005A78EA"/>
    <w:rsid w:val="005B62CA"/>
    <w:rsid w:val="005B6925"/>
    <w:rsid w:val="005C7361"/>
    <w:rsid w:val="005D0FC3"/>
    <w:rsid w:val="005D32AD"/>
    <w:rsid w:val="005D559B"/>
    <w:rsid w:val="005F397D"/>
    <w:rsid w:val="005F4D6D"/>
    <w:rsid w:val="00602ED0"/>
    <w:rsid w:val="00616A7F"/>
    <w:rsid w:val="00616C31"/>
    <w:rsid w:val="00634C27"/>
    <w:rsid w:val="006376F7"/>
    <w:rsid w:val="0065480A"/>
    <w:rsid w:val="00656E42"/>
    <w:rsid w:val="0067128F"/>
    <w:rsid w:val="0067469C"/>
    <w:rsid w:val="00675F50"/>
    <w:rsid w:val="0068215A"/>
    <w:rsid w:val="00686434"/>
    <w:rsid w:val="00690304"/>
    <w:rsid w:val="00693194"/>
    <w:rsid w:val="006B45EF"/>
    <w:rsid w:val="006C0EE4"/>
    <w:rsid w:val="006E1943"/>
    <w:rsid w:val="007049B5"/>
    <w:rsid w:val="00707258"/>
    <w:rsid w:val="007110AF"/>
    <w:rsid w:val="00714A71"/>
    <w:rsid w:val="00716FD6"/>
    <w:rsid w:val="007179B4"/>
    <w:rsid w:val="00741DF3"/>
    <w:rsid w:val="007447DB"/>
    <w:rsid w:val="0074565C"/>
    <w:rsid w:val="00746CE3"/>
    <w:rsid w:val="0076321D"/>
    <w:rsid w:val="0078797C"/>
    <w:rsid w:val="00792478"/>
    <w:rsid w:val="007B07A5"/>
    <w:rsid w:val="007B0AFE"/>
    <w:rsid w:val="007C000D"/>
    <w:rsid w:val="007C09B7"/>
    <w:rsid w:val="007C2D26"/>
    <w:rsid w:val="007C4335"/>
    <w:rsid w:val="007D3440"/>
    <w:rsid w:val="007F2CF6"/>
    <w:rsid w:val="007F7F5F"/>
    <w:rsid w:val="00811792"/>
    <w:rsid w:val="00814A1A"/>
    <w:rsid w:val="00820910"/>
    <w:rsid w:val="008256D5"/>
    <w:rsid w:val="00825B27"/>
    <w:rsid w:val="00830BC0"/>
    <w:rsid w:val="008331C5"/>
    <w:rsid w:val="008446F4"/>
    <w:rsid w:val="00854B2A"/>
    <w:rsid w:val="00856158"/>
    <w:rsid w:val="0087508C"/>
    <w:rsid w:val="00877AA7"/>
    <w:rsid w:val="008852AF"/>
    <w:rsid w:val="00895D8F"/>
    <w:rsid w:val="00896D7C"/>
    <w:rsid w:val="008A1D30"/>
    <w:rsid w:val="008B7224"/>
    <w:rsid w:val="008D413F"/>
    <w:rsid w:val="008D41A9"/>
    <w:rsid w:val="008E1956"/>
    <w:rsid w:val="008E423C"/>
    <w:rsid w:val="008E4CFB"/>
    <w:rsid w:val="008F12F8"/>
    <w:rsid w:val="00934D5B"/>
    <w:rsid w:val="00935FA1"/>
    <w:rsid w:val="009464B3"/>
    <w:rsid w:val="00976818"/>
    <w:rsid w:val="00987978"/>
    <w:rsid w:val="009924CA"/>
    <w:rsid w:val="00994583"/>
    <w:rsid w:val="009A1E88"/>
    <w:rsid w:val="009A63F1"/>
    <w:rsid w:val="009B3BA6"/>
    <w:rsid w:val="009B431D"/>
    <w:rsid w:val="009B70AF"/>
    <w:rsid w:val="009C1794"/>
    <w:rsid w:val="009D369D"/>
    <w:rsid w:val="009D4FA7"/>
    <w:rsid w:val="009E17D1"/>
    <w:rsid w:val="009E2D5C"/>
    <w:rsid w:val="009F0F7F"/>
    <w:rsid w:val="00A06884"/>
    <w:rsid w:val="00A13601"/>
    <w:rsid w:val="00A22DC3"/>
    <w:rsid w:val="00A31117"/>
    <w:rsid w:val="00A449A9"/>
    <w:rsid w:val="00A678C8"/>
    <w:rsid w:val="00A73B5B"/>
    <w:rsid w:val="00A75DCB"/>
    <w:rsid w:val="00A77D37"/>
    <w:rsid w:val="00A81BAF"/>
    <w:rsid w:val="00A83AD1"/>
    <w:rsid w:val="00AA0D78"/>
    <w:rsid w:val="00AA1F9B"/>
    <w:rsid w:val="00AA5C5E"/>
    <w:rsid w:val="00AA7830"/>
    <w:rsid w:val="00AB20B1"/>
    <w:rsid w:val="00AB3E90"/>
    <w:rsid w:val="00AB5F52"/>
    <w:rsid w:val="00AB6A28"/>
    <w:rsid w:val="00AD3337"/>
    <w:rsid w:val="00AD4964"/>
    <w:rsid w:val="00AD7962"/>
    <w:rsid w:val="00AE6BC9"/>
    <w:rsid w:val="00AF29C1"/>
    <w:rsid w:val="00B05E4B"/>
    <w:rsid w:val="00B06981"/>
    <w:rsid w:val="00B148B8"/>
    <w:rsid w:val="00B24640"/>
    <w:rsid w:val="00B310C5"/>
    <w:rsid w:val="00B35714"/>
    <w:rsid w:val="00B86315"/>
    <w:rsid w:val="00B87F10"/>
    <w:rsid w:val="00B92A0C"/>
    <w:rsid w:val="00B96E53"/>
    <w:rsid w:val="00BA2745"/>
    <w:rsid w:val="00BA4EB9"/>
    <w:rsid w:val="00BB38C3"/>
    <w:rsid w:val="00BC34D9"/>
    <w:rsid w:val="00BD448F"/>
    <w:rsid w:val="00BD60D3"/>
    <w:rsid w:val="00BD6DA8"/>
    <w:rsid w:val="00BF0575"/>
    <w:rsid w:val="00BF55A8"/>
    <w:rsid w:val="00C10040"/>
    <w:rsid w:val="00C21198"/>
    <w:rsid w:val="00C21804"/>
    <w:rsid w:val="00C21DD5"/>
    <w:rsid w:val="00C34245"/>
    <w:rsid w:val="00C35823"/>
    <w:rsid w:val="00C41E40"/>
    <w:rsid w:val="00C4523F"/>
    <w:rsid w:val="00C501AD"/>
    <w:rsid w:val="00C537FA"/>
    <w:rsid w:val="00C62C9A"/>
    <w:rsid w:val="00C70863"/>
    <w:rsid w:val="00C84AA4"/>
    <w:rsid w:val="00C909C7"/>
    <w:rsid w:val="00CA1905"/>
    <w:rsid w:val="00CA4DF3"/>
    <w:rsid w:val="00CB4384"/>
    <w:rsid w:val="00CC12EC"/>
    <w:rsid w:val="00CC23A9"/>
    <w:rsid w:val="00CD26AE"/>
    <w:rsid w:val="00CF5505"/>
    <w:rsid w:val="00CF71CA"/>
    <w:rsid w:val="00CF7E1E"/>
    <w:rsid w:val="00D01B20"/>
    <w:rsid w:val="00D0717C"/>
    <w:rsid w:val="00D17391"/>
    <w:rsid w:val="00D17A9F"/>
    <w:rsid w:val="00D376F6"/>
    <w:rsid w:val="00D44623"/>
    <w:rsid w:val="00D5146D"/>
    <w:rsid w:val="00D62C2F"/>
    <w:rsid w:val="00D80BFA"/>
    <w:rsid w:val="00D87C70"/>
    <w:rsid w:val="00DA1015"/>
    <w:rsid w:val="00DA32FC"/>
    <w:rsid w:val="00DB1362"/>
    <w:rsid w:val="00E03626"/>
    <w:rsid w:val="00E20C6D"/>
    <w:rsid w:val="00E31169"/>
    <w:rsid w:val="00E33E39"/>
    <w:rsid w:val="00E33F24"/>
    <w:rsid w:val="00E53091"/>
    <w:rsid w:val="00E615BF"/>
    <w:rsid w:val="00E66B9C"/>
    <w:rsid w:val="00E67778"/>
    <w:rsid w:val="00E877B8"/>
    <w:rsid w:val="00E92B05"/>
    <w:rsid w:val="00E933D5"/>
    <w:rsid w:val="00EA3120"/>
    <w:rsid w:val="00EB237E"/>
    <w:rsid w:val="00EC34E5"/>
    <w:rsid w:val="00EC56AA"/>
    <w:rsid w:val="00ED0764"/>
    <w:rsid w:val="00ED0990"/>
    <w:rsid w:val="00ED59D2"/>
    <w:rsid w:val="00EE5ACD"/>
    <w:rsid w:val="00EE6204"/>
    <w:rsid w:val="00EF18AB"/>
    <w:rsid w:val="00EF55E7"/>
    <w:rsid w:val="00F004EA"/>
    <w:rsid w:val="00F012D3"/>
    <w:rsid w:val="00F06EE2"/>
    <w:rsid w:val="00F2140C"/>
    <w:rsid w:val="00F242BC"/>
    <w:rsid w:val="00F32FFB"/>
    <w:rsid w:val="00F6341B"/>
    <w:rsid w:val="00F753D5"/>
    <w:rsid w:val="00F83E27"/>
    <w:rsid w:val="00F8666D"/>
    <w:rsid w:val="00F924C3"/>
    <w:rsid w:val="00FA1B9A"/>
    <w:rsid w:val="00FB561E"/>
    <w:rsid w:val="00FC51A1"/>
    <w:rsid w:val="00FC5E53"/>
    <w:rsid w:val="00FC6C81"/>
    <w:rsid w:val="00FD2CA0"/>
    <w:rsid w:val="00FE45DD"/>
    <w:rsid w:val="00FE4E85"/>
    <w:rsid w:val="00FF2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D2E3"/>
  <w15:chartTrackingRefBased/>
  <w15:docId w15:val="{C1B97DD6-61AD-4030-8CDB-A2C344FB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23F"/>
    <w:pPr>
      <w:ind w:left="720"/>
      <w:contextualSpacing/>
    </w:pPr>
  </w:style>
  <w:style w:type="table" w:styleId="TableGrid">
    <w:name w:val="Table Grid"/>
    <w:basedOn w:val="TableNormal"/>
    <w:uiPriority w:val="39"/>
    <w:rsid w:val="00BB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7361"/>
    <w:pPr>
      <w:spacing w:after="0" w:line="240" w:lineRule="auto"/>
    </w:pPr>
  </w:style>
  <w:style w:type="character" w:styleId="CommentReference">
    <w:name w:val="annotation reference"/>
    <w:basedOn w:val="DefaultParagraphFont"/>
    <w:uiPriority w:val="99"/>
    <w:semiHidden/>
    <w:unhideWhenUsed/>
    <w:rsid w:val="00F753D5"/>
    <w:rPr>
      <w:sz w:val="16"/>
      <w:szCs w:val="16"/>
    </w:rPr>
  </w:style>
  <w:style w:type="paragraph" w:styleId="CommentText">
    <w:name w:val="annotation text"/>
    <w:basedOn w:val="Normal"/>
    <w:link w:val="CommentTextChar"/>
    <w:uiPriority w:val="99"/>
    <w:unhideWhenUsed/>
    <w:rsid w:val="00F753D5"/>
    <w:pPr>
      <w:spacing w:line="240" w:lineRule="auto"/>
    </w:pPr>
    <w:rPr>
      <w:sz w:val="20"/>
      <w:szCs w:val="20"/>
    </w:rPr>
  </w:style>
  <w:style w:type="character" w:customStyle="1" w:styleId="CommentTextChar">
    <w:name w:val="Comment Text Char"/>
    <w:basedOn w:val="DefaultParagraphFont"/>
    <w:link w:val="CommentText"/>
    <w:uiPriority w:val="99"/>
    <w:rsid w:val="00F753D5"/>
    <w:rPr>
      <w:sz w:val="20"/>
      <w:szCs w:val="20"/>
    </w:rPr>
  </w:style>
  <w:style w:type="paragraph" w:styleId="CommentSubject">
    <w:name w:val="annotation subject"/>
    <w:basedOn w:val="CommentText"/>
    <w:next w:val="CommentText"/>
    <w:link w:val="CommentSubjectChar"/>
    <w:uiPriority w:val="99"/>
    <w:semiHidden/>
    <w:unhideWhenUsed/>
    <w:rsid w:val="00F753D5"/>
    <w:rPr>
      <w:b/>
      <w:bCs/>
    </w:rPr>
  </w:style>
  <w:style w:type="character" w:customStyle="1" w:styleId="CommentSubjectChar">
    <w:name w:val="Comment Subject Char"/>
    <w:basedOn w:val="CommentTextChar"/>
    <w:link w:val="CommentSubject"/>
    <w:uiPriority w:val="99"/>
    <w:semiHidden/>
    <w:rsid w:val="00F753D5"/>
    <w:rPr>
      <w:b/>
      <w:bCs/>
      <w:sz w:val="20"/>
      <w:szCs w:val="20"/>
    </w:rPr>
  </w:style>
  <w:style w:type="character" w:styleId="Hyperlink">
    <w:name w:val="Hyperlink"/>
    <w:basedOn w:val="DefaultParagraphFont"/>
    <w:uiPriority w:val="99"/>
    <w:unhideWhenUsed/>
    <w:rsid w:val="00F753D5"/>
    <w:rPr>
      <w:color w:val="0563C1" w:themeColor="hyperlink"/>
      <w:u w:val="single"/>
    </w:rPr>
  </w:style>
  <w:style w:type="character" w:styleId="UnresolvedMention">
    <w:name w:val="Unresolved Mention"/>
    <w:basedOn w:val="DefaultParagraphFont"/>
    <w:uiPriority w:val="99"/>
    <w:semiHidden/>
    <w:unhideWhenUsed/>
    <w:rsid w:val="00F753D5"/>
    <w:rPr>
      <w:color w:val="605E5C"/>
      <w:shd w:val="clear" w:color="auto" w:fill="E1DFDD"/>
    </w:rPr>
  </w:style>
  <w:style w:type="paragraph" w:styleId="Header">
    <w:name w:val="header"/>
    <w:basedOn w:val="Normal"/>
    <w:link w:val="HeaderChar"/>
    <w:uiPriority w:val="99"/>
    <w:unhideWhenUsed/>
    <w:rsid w:val="00675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50"/>
  </w:style>
  <w:style w:type="paragraph" w:styleId="Footer">
    <w:name w:val="footer"/>
    <w:basedOn w:val="Normal"/>
    <w:link w:val="FooterChar"/>
    <w:uiPriority w:val="99"/>
    <w:unhideWhenUsed/>
    <w:rsid w:val="00675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69A74-B3B0-495E-ACF2-65678DF5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Kavish Shah</dc:creator>
  <cp:keywords/>
  <dc:description/>
  <cp:lastModifiedBy>Renée Graham</cp:lastModifiedBy>
  <cp:revision>2</cp:revision>
  <dcterms:created xsi:type="dcterms:W3CDTF">2024-01-11T09:54:00Z</dcterms:created>
  <dcterms:modified xsi:type="dcterms:W3CDTF">2024-01-11T09:54:00Z</dcterms:modified>
</cp:coreProperties>
</file>