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0B3F" w14:textId="11E23873" w:rsidR="00A43068" w:rsidRPr="00235C33" w:rsidRDefault="00A43068" w:rsidP="002943F4">
      <w:pPr>
        <w:rPr>
          <w:rFonts w:ascii="Century Schoolbook" w:hAnsi="Century Schoolbook"/>
          <w:bCs/>
          <w:sz w:val="24"/>
          <w:szCs w:val="24"/>
          <w:lang w:eastAsia="en-GB"/>
        </w:rPr>
      </w:pPr>
      <w:r w:rsidRPr="00235C33">
        <w:rPr>
          <w:rFonts w:ascii="Century Schoolbook" w:hAnsi="Century Schoolbook"/>
          <w:bCs/>
          <w:sz w:val="24"/>
          <w:szCs w:val="24"/>
          <w:lang w:eastAsia="en-GB"/>
        </w:rPr>
        <w:t xml:space="preserve">In this series of articles, we aim to </w:t>
      </w:r>
      <w:r w:rsidR="00351091" w:rsidRPr="00235C33">
        <w:rPr>
          <w:rFonts w:ascii="Century Schoolbook" w:hAnsi="Century Schoolbook"/>
          <w:bCs/>
          <w:sz w:val="24"/>
          <w:szCs w:val="24"/>
          <w:lang w:eastAsia="en-GB"/>
        </w:rPr>
        <w:t>highlight 3</w:t>
      </w:r>
      <w:r w:rsidRPr="00235C33">
        <w:rPr>
          <w:rFonts w:ascii="Century Schoolbook" w:hAnsi="Century Schoolbook"/>
          <w:bCs/>
          <w:sz w:val="24"/>
          <w:szCs w:val="24"/>
          <w:lang w:eastAsia="en-GB"/>
        </w:rPr>
        <w:t xml:space="preserve"> of the most interesting cases </w:t>
      </w:r>
      <w:r w:rsidR="00351091" w:rsidRPr="00235C33">
        <w:rPr>
          <w:rFonts w:ascii="Century Schoolbook" w:hAnsi="Century Schoolbook"/>
          <w:bCs/>
          <w:sz w:val="24"/>
          <w:szCs w:val="24"/>
          <w:lang w:eastAsia="en-GB"/>
        </w:rPr>
        <w:t xml:space="preserve">in our field decided in the past month. </w:t>
      </w:r>
      <w:r w:rsidR="00E138FF">
        <w:rPr>
          <w:rFonts w:ascii="Century Schoolbook" w:hAnsi="Century Schoolbook"/>
          <w:bCs/>
          <w:sz w:val="24"/>
          <w:szCs w:val="24"/>
          <w:lang w:eastAsia="en-GB"/>
        </w:rPr>
        <w:t xml:space="preserve">This month: the presumption of advancement, parts of a building and the right to manage, and </w:t>
      </w:r>
      <w:r w:rsidR="004C4B2E">
        <w:rPr>
          <w:rFonts w:ascii="Century Schoolbook" w:hAnsi="Century Schoolbook"/>
          <w:bCs/>
          <w:sz w:val="24"/>
          <w:szCs w:val="24"/>
          <w:lang w:eastAsia="en-GB"/>
        </w:rPr>
        <w:t xml:space="preserve">payability of </w:t>
      </w:r>
      <w:r w:rsidR="00CF4E79">
        <w:rPr>
          <w:rFonts w:ascii="Century Schoolbook" w:hAnsi="Century Schoolbook"/>
          <w:bCs/>
          <w:sz w:val="24"/>
          <w:szCs w:val="24"/>
          <w:lang w:eastAsia="en-GB"/>
        </w:rPr>
        <w:t>service charge</w:t>
      </w:r>
      <w:r w:rsidR="004C4B2E">
        <w:rPr>
          <w:rFonts w:ascii="Century Schoolbook" w:hAnsi="Century Schoolbook"/>
          <w:bCs/>
          <w:sz w:val="24"/>
          <w:szCs w:val="24"/>
          <w:lang w:eastAsia="en-GB"/>
        </w:rPr>
        <w:t>s.</w:t>
      </w:r>
    </w:p>
    <w:p w14:paraId="3ED9C671" w14:textId="13E020C6" w:rsidR="00A43068" w:rsidRPr="00235C33" w:rsidRDefault="00A43068" w:rsidP="002943F4">
      <w:pPr>
        <w:rPr>
          <w:rFonts w:ascii="Century Schoolbook" w:hAnsi="Century Schoolbook"/>
          <w:bCs/>
          <w:lang w:eastAsia="en-GB"/>
        </w:rPr>
      </w:pPr>
      <w:r w:rsidRPr="00235C33">
        <w:rPr>
          <w:rFonts w:ascii="Century Schoolbook" w:hAnsi="Century Schoolbook"/>
          <w:bCs/>
          <w:lang w:eastAsia="en-GB"/>
        </w:rPr>
        <w:t xml:space="preserve"> </w:t>
      </w:r>
    </w:p>
    <w:p w14:paraId="4196C666" w14:textId="2FBA7094" w:rsidR="007A7E6F" w:rsidRPr="00235C33" w:rsidRDefault="009F0B35" w:rsidP="00C95C43">
      <w:pPr>
        <w:jc w:val="center"/>
        <w:rPr>
          <w:rFonts w:ascii="Century Schoolbook" w:hAnsi="Century Schoolbook"/>
          <w:b/>
          <w:bCs/>
          <w:sz w:val="48"/>
          <w:szCs w:val="48"/>
          <w:u w:val="single"/>
          <w:lang w:eastAsia="en-GB"/>
        </w:rPr>
      </w:pPr>
      <w:r>
        <w:rPr>
          <w:rFonts w:ascii="Century Schoolbook" w:hAnsi="Century Schoolbook"/>
          <w:b/>
          <w:bCs/>
          <w:sz w:val="48"/>
          <w:szCs w:val="48"/>
          <w:u w:val="single"/>
          <w:lang w:eastAsia="en-GB"/>
        </w:rPr>
        <w:t xml:space="preserve">JUNE </w:t>
      </w:r>
      <w:r w:rsidR="007A7E6F" w:rsidRPr="00235C33">
        <w:rPr>
          <w:rFonts w:ascii="Century Schoolbook" w:hAnsi="Century Schoolbook"/>
          <w:b/>
          <w:bCs/>
          <w:sz w:val="48"/>
          <w:szCs w:val="48"/>
          <w:u w:val="single"/>
          <w:lang w:eastAsia="en-GB"/>
        </w:rPr>
        <w:t>202</w:t>
      </w:r>
      <w:r w:rsidR="00861416">
        <w:rPr>
          <w:rFonts w:ascii="Century Schoolbook" w:hAnsi="Century Schoolbook"/>
          <w:b/>
          <w:bCs/>
          <w:sz w:val="48"/>
          <w:szCs w:val="48"/>
          <w:u w:val="single"/>
          <w:lang w:eastAsia="en-GB"/>
        </w:rPr>
        <w:t>6</w:t>
      </w:r>
    </w:p>
    <w:p w14:paraId="0AE5E4B4" w14:textId="77777777" w:rsidR="007A7E6F" w:rsidRPr="00235C33" w:rsidRDefault="007A7E6F" w:rsidP="004C3CDF">
      <w:pPr>
        <w:rPr>
          <w:rFonts w:ascii="Century Schoolbook" w:eastAsia="Times New Roman" w:hAnsi="Century Schoolbook" w:cs="Arial"/>
          <w:color w:val="222222"/>
          <w:sz w:val="21"/>
          <w:szCs w:val="21"/>
          <w:lang w:eastAsia="en-GB"/>
        </w:rPr>
      </w:pPr>
    </w:p>
    <w:p w14:paraId="3166A8F8" w14:textId="06B3D141" w:rsidR="0003289A" w:rsidRDefault="0003289A" w:rsidP="00BF4684">
      <w:pPr>
        <w:jc w:val="both"/>
        <w:rPr>
          <w:rFonts w:ascii="Century Schoolbook" w:hAnsi="Century Schoolbook"/>
          <w:b/>
          <w:bCs/>
          <w:sz w:val="28"/>
          <w:szCs w:val="28"/>
          <w:lang w:eastAsia="en-GB"/>
        </w:rPr>
      </w:pPr>
      <w:r w:rsidRPr="0003289A">
        <w:rPr>
          <w:rFonts w:ascii="Century Schoolbook" w:hAnsi="Century Schoolbook"/>
          <w:b/>
          <w:bCs/>
          <w:sz w:val="28"/>
          <w:szCs w:val="28"/>
          <w:lang w:eastAsia="en-GB"/>
        </w:rPr>
        <w:t xml:space="preserve">Kroll Agency Services Ltd v </w:t>
      </w:r>
      <w:proofErr w:type="spellStart"/>
      <w:r w:rsidRPr="0003289A">
        <w:rPr>
          <w:rFonts w:ascii="Century Schoolbook" w:hAnsi="Century Schoolbook"/>
          <w:b/>
          <w:bCs/>
          <w:sz w:val="28"/>
          <w:szCs w:val="28"/>
          <w:lang w:eastAsia="en-GB"/>
        </w:rPr>
        <w:t>Inlustrem</w:t>
      </w:r>
      <w:proofErr w:type="spellEnd"/>
      <w:r w:rsidRPr="0003289A">
        <w:rPr>
          <w:rFonts w:ascii="Century Schoolbook" w:hAnsi="Century Schoolbook"/>
          <w:b/>
          <w:bCs/>
          <w:sz w:val="28"/>
          <w:szCs w:val="28"/>
          <w:lang w:eastAsia="en-GB"/>
        </w:rPr>
        <w:t xml:space="preserve"> Maritime Ltd [2026] EWHC 1453 (KB)</w:t>
      </w:r>
    </w:p>
    <w:p w14:paraId="1A9A9DDA" w14:textId="57DF6D08" w:rsidR="00B221E6" w:rsidRPr="00235C33" w:rsidRDefault="00312479" w:rsidP="00BF4684">
      <w:pPr>
        <w:jc w:val="both"/>
        <w:rPr>
          <w:rFonts w:ascii="Century Schoolbook" w:hAnsi="Century Schoolbook"/>
          <w:b/>
          <w:i/>
          <w:sz w:val="24"/>
          <w:szCs w:val="24"/>
        </w:rPr>
      </w:pPr>
      <w:r w:rsidRPr="00235C33">
        <w:rPr>
          <w:rFonts w:ascii="Century Schoolbook" w:hAnsi="Century Schoolbook"/>
          <w:b/>
          <w:i/>
          <w:sz w:val="24"/>
          <w:szCs w:val="24"/>
        </w:rPr>
        <w:t>Summary</w:t>
      </w:r>
    </w:p>
    <w:p w14:paraId="06D1B9E2" w14:textId="77777777" w:rsidR="003558C1" w:rsidRPr="003558C1" w:rsidRDefault="003558C1" w:rsidP="003558C1">
      <w:pPr>
        <w:jc w:val="both"/>
        <w:rPr>
          <w:rFonts w:ascii="Century Schoolbook" w:hAnsi="Century Schoolbook"/>
          <w:sz w:val="24"/>
          <w:szCs w:val="24"/>
        </w:rPr>
      </w:pPr>
      <w:r w:rsidRPr="003558C1">
        <w:rPr>
          <w:rFonts w:ascii="Century Schoolbook" w:hAnsi="Century Schoolbook"/>
          <w:sz w:val="24"/>
          <w:szCs w:val="24"/>
        </w:rPr>
        <w:t>The High Court set aside charging orders on the basis that the entire beneficial interest in the property was held by the registered owner’s father.</w:t>
      </w:r>
    </w:p>
    <w:p w14:paraId="5AFA41D1" w14:textId="4DBBD953" w:rsidR="003558C1" w:rsidRDefault="003558C1" w:rsidP="003558C1">
      <w:pPr>
        <w:jc w:val="both"/>
        <w:rPr>
          <w:rFonts w:ascii="Century Schoolbook" w:hAnsi="Century Schoolbook"/>
          <w:sz w:val="24"/>
          <w:szCs w:val="24"/>
        </w:rPr>
      </w:pPr>
      <w:r w:rsidRPr="003558C1">
        <w:rPr>
          <w:rFonts w:ascii="Century Schoolbook" w:hAnsi="Century Schoolbook"/>
          <w:sz w:val="24"/>
          <w:szCs w:val="24"/>
        </w:rPr>
        <w:t xml:space="preserve">Master Dagnall found on the facts of the case that the father had provided the monies for the acquisition of the property, not by way of a loan, such that he would be the beneficial owner under a presumed resulting trust unless the presumption of advancement applied. That presumption was rebutted on the </w:t>
      </w:r>
      <w:proofErr w:type="gramStart"/>
      <w:r w:rsidRPr="003558C1">
        <w:rPr>
          <w:rFonts w:ascii="Century Schoolbook" w:hAnsi="Century Schoolbook"/>
          <w:sz w:val="24"/>
          <w:szCs w:val="24"/>
        </w:rPr>
        <w:t>facts,</w:t>
      </w:r>
      <w:proofErr w:type="gramEnd"/>
      <w:r w:rsidRPr="003558C1">
        <w:rPr>
          <w:rFonts w:ascii="Century Schoolbook" w:hAnsi="Century Schoolbook"/>
          <w:sz w:val="24"/>
          <w:szCs w:val="24"/>
        </w:rPr>
        <w:t xml:space="preserve"> it having been shown that the father’s subjective intention was to retain beneficial ownership himself</w:t>
      </w:r>
      <w:r>
        <w:rPr>
          <w:rFonts w:ascii="Century Schoolbook" w:hAnsi="Century Schoolbook"/>
          <w:sz w:val="24"/>
          <w:szCs w:val="24"/>
        </w:rPr>
        <w:t>.</w:t>
      </w:r>
    </w:p>
    <w:p w14:paraId="28D444F0" w14:textId="65C1E850" w:rsidR="00B221E6" w:rsidRPr="00235C33" w:rsidRDefault="00312479" w:rsidP="003558C1">
      <w:pPr>
        <w:jc w:val="both"/>
        <w:rPr>
          <w:rFonts w:ascii="Century Schoolbook" w:hAnsi="Century Schoolbook"/>
          <w:b/>
          <w:i/>
          <w:sz w:val="24"/>
          <w:szCs w:val="24"/>
        </w:rPr>
      </w:pPr>
      <w:r w:rsidRPr="00235C33">
        <w:rPr>
          <w:rFonts w:ascii="Century Schoolbook" w:hAnsi="Century Schoolbook"/>
          <w:b/>
          <w:i/>
          <w:sz w:val="24"/>
          <w:szCs w:val="24"/>
        </w:rPr>
        <w:t>Why it’s important</w:t>
      </w:r>
      <w:r w:rsidR="00B221E6" w:rsidRPr="00235C33">
        <w:rPr>
          <w:rFonts w:ascii="Century Schoolbook" w:hAnsi="Century Schoolbook"/>
          <w:b/>
          <w:i/>
          <w:sz w:val="24"/>
          <w:szCs w:val="24"/>
        </w:rPr>
        <w:t xml:space="preserve"> </w:t>
      </w:r>
    </w:p>
    <w:p w14:paraId="3AF71F42" w14:textId="77777777" w:rsidR="008657C8" w:rsidRDefault="008657C8" w:rsidP="004C3CDF">
      <w:pPr>
        <w:rPr>
          <w:rFonts w:ascii="Century Schoolbook" w:hAnsi="Century Schoolbook"/>
          <w:sz w:val="24"/>
          <w:szCs w:val="24"/>
        </w:rPr>
      </w:pPr>
      <w:r w:rsidRPr="008657C8">
        <w:rPr>
          <w:rFonts w:ascii="Century Schoolbook" w:hAnsi="Century Schoolbook"/>
          <w:sz w:val="24"/>
          <w:szCs w:val="24"/>
        </w:rPr>
        <w:t>The judgment contains a detailed survey of the authorities on the presumption of advancement and helpfully enumerates the applicable principles to be applied. Notably, it is suggested both that the presumption of advancement is relatively weak in modern times, and that there is no rule against admitting post-transaction events into evidence.</w:t>
      </w:r>
    </w:p>
    <w:p w14:paraId="12D4791F" w14:textId="3805360B" w:rsidR="00274FE5" w:rsidRPr="00235C33" w:rsidRDefault="00A717D5" w:rsidP="004C3CDF">
      <w:pPr>
        <w:rPr>
          <w:rFonts w:ascii="Century Schoolbook" w:hAnsi="Century Schoolbook"/>
          <w:sz w:val="24"/>
          <w:szCs w:val="24"/>
        </w:rPr>
      </w:pPr>
      <w:r w:rsidRPr="00235C33">
        <w:rPr>
          <w:rFonts w:ascii="Century Schoolbook" w:hAnsi="Century Schoolbook"/>
          <w:sz w:val="24"/>
          <w:szCs w:val="24"/>
        </w:rPr>
        <w:t>----------------------------------------------------------------------------------------------------------------</w:t>
      </w:r>
    </w:p>
    <w:p w14:paraId="37924788" w14:textId="77777777" w:rsidR="00C95C43" w:rsidRPr="00235C33" w:rsidRDefault="00C95C43" w:rsidP="004C3CDF">
      <w:pPr>
        <w:rPr>
          <w:rFonts w:ascii="Century Schoolbook" w:hAnsi="Century Schoolbook"/>
          <w:b/>
          <w:bCs/>
          <w:sz w:val="24"/>
          <w:szCs w:val="24"/>
        </w:rPr>
      </w:pPr>
    </w:p>
    <w:p w14:paraId="376A37E1" w14:textId="77777777" w:rsidR="009F0B35" w:rsidRPr="00235C33" w:rsidRDefault="009F0B35" w:rsidP="009F0B35">
      <w:pPr>
        <w:rPr>
          <w:rFonts w:ascii="Century Schoolbook" w:hAnsi="Century Schoolbook"/>
          <w:b/>
          <w:bCs/>
          <w:sz w:val="28"/>
          <w:szCs w:val="28"/>
          <w:lang w:eastAsia="en-GB"/>
        </w:rPr>
      </w:pPr>
      <w:r w:rsidRPr="00501CE7">
        <w:rPr>
          <w:rFonts w:ascii="Century Schoolbook" w:hAnsi="Century Schoolbook"/>
          <w:b/>
          <w:bCs/>
          <w:sz w:val="28"/>
          <w:szCs w:val="28"/>
          <w:lang w:eastAsia="en-GB"/>
        </w:rPr>
        <w:t xml:space="preserve">The Courtyard RTM Company Ltd v Rockwell (FC103) Ltd [2026] EWCA </w:t>
      </w:r>
      <w:proofErr w:type="spellStart"/>
      <w:r w:rsidRPr="00501CE7">
        <w:rPr>
          <w:rFonts w:ascii="Century Schoolbook" w:hAnsi="Century Schoolbook"/>
          <w:b/>
          <w:bCs/>
          <w:sz w:val="28"/>
          <w:szCs w:val="28"/>
          <w:lang w:eastAsia="en-GB"/>
        </w:rPr>
        <w:t>Civ</w:t>
      </w:r>
      <w:proofErr w:type="spellEnd"/>
      <w:r w:rsidRPr="00501CE7">
        <w:rPr>
          <w:rFonts w:ascii="Century Schoolbook" w:hAnsi="Century Schoolbook"/>
          <w:b/>
          <w:bCs/>
          <w:sz w:val="28"/>
          <w:szCs w:val="28"/>
          <w:lang w:eastAsia="en-GB"/>
        </w:rPr>
        <w:t xml:space="preserve"> 712</w:t>
      </w:r>
    </w:p>
    <w:p w14:paraId="00EE7EB8" w14:textId="77777777" w:rsidR="009F0B35" w:rsidRPr="00235C33" w:rsidRDefault="009F0B35" w:rsidP="009F0B35">
      <w:pPr>
        <w:jc w:val="both"/>
        <w:rPr>
          <w:rFonts w:ascii="Century Schoolbook" w:hAnsi="Century Schoolbook"/>
          <w:b/>
          <w:i/>
          <w:sz w:val="24"/>
          <w:szCs w:val="24"/>
        </w:rPr>
      </w:pPr>
      <w:r w:rsidRPr="00235C33">
        <w:rPr>
          <w:rFonts w:ascii="Century Schoolbook" w:hAnsi="Century Schoolbook"/>
          <w:b/>
          <w:i/>
          <w:sz w:val="24"/>
          <w:szCs w:val="24"/>
        </w:rPr>
        <w:t>Summary</w:t>
      </w:r>
    </w:p>
    <w:p w14:paraId="5880135D" w14:textId="77777777" w:rsidR="009F0B35" w:rsidRPr="00DC5E5A" w:rsidRDefault="009F0B35" w:rsidP="009F0B35">
      <w:pPr>
        <w:jc w:val="both"/>
        <w:rPr>
          <w:rFonts w:ascii="Century Schoolbook" w:hAnsi="Century Schoolbook"/>
          <w:sz w:val="24"/>
          <w:szCs w:val="24"/>
        </w:rPr>
      </w:pPr>
      <w:r w:rsidRPr="00DC5E5A">
        <w:rPr>
          <w:rFonts w:ascii="Century Schoolbook" w:hAnsi="Century Schoolbook"/>
          <w:sz w:val="24"/>
          <w:szCs w:val="24"/>
        </w:rPr>
        <w:t xml:space="preserve">The Court of Appeal determined two appeals relating to what constitutes a </w:t>
      </w:r>
      <w:proofErr w:type="spellStart"/>
      <w:proofErr w:type="gramStart"/>
      <w:r w:rsidRPr="00DC5E5A">
        <w:rPr>
          <w:rFonts w:ascii="Century Schoolbook" w:hAnsi="Century Schoolbook"/>
          <w:sz w:val="24"/>
          <w:szCs w:val="24"/>
        </w:rPr>
        <w:t>self contained</w:t>
      </w:r>
      <w:proofErr w:type="spellEnd"/>
      <w:proofErr w:type="gramEnd"/>
      <w:r w:rsidRPr="00DC5E5A">
        <w:rPr>
          <w:rFonts w:ascii="Century Schoolbook" w:hAnsi="Century Schoolbook"/>
          <w:sz w:val="24"/>
          <w:szCs w:val="24"/>
        </w:rPr>
        <w:t xml:space="preserve"> part of a building for the purposes of the right to manage, contained in the Commonhold and Leasehold Reform Act 2002.</w:t>
      </w:r>
    </w:p>
    <w:p w14:paraId="4473AB4E" w14:textId="77777777" w:rsidR="009F0B35" w:rsidRPr="00DC5E5A" w:rsidRDefault="009F0B35" w:rsidP="009F0B35">
      <w:pPr>
        <w:jc w:val="both"/>
        <w:rPr>
          <w:rFonts w:ascii="Century Schoolbook" w:hAnsi="Century Schoolbook"/>
          <w:sz w:val="24"/>
          <w:szCs w:val="24"/>
        </w:rPr>
      </w:pPr>
      <w:r w:rsidRPr="00DC5E5A">
        <w:rPr>
          <w:rFonts w:ascii="Century Schoolbook" w:hAnsi="Century Schoolbook"/>
          <w:sz w:val="24"/>
          <w:szCs w:val="24"/>
        </w:rPr>
        <w:lastRenderedPageBreak/>
        <w:t>The first appeal related to a modern development in Liverpool. There were multiple blocks, structurally connected by a podium, and with an open plan basement car park shared between them. Upholding the decision below, the Court of Appeal determined that each of the blocks did not constitute a self-contained part of a building, because of the vertically undivided nature of the car park; the requirement in s.72(3)(a) for ‘vertical division of the building’ was therefore not met.</w:t>
      </w:r>
    </w:p>
    <w:p w14:paraId="247FB072" w14:textId="77777777" w:rsidR="009F0B35" w:rsidRPr="00235C33" w:rsidRDefault="009F0B35" w:rsidP="009F0B35">
      <w:pPr>
        <w:jc w:val="both"/>
        <w:rPr>
          <w:rFonts w:ascii="Century Schoolbook" w:hAnsi="Century Schoolbook"/>
          <w:sz w:val="24"/>
          <w:szCs w:val="24"/>
        </w:rPr>
      </w:pPr>
      <w:r w:rsidRPr="00DC5E5A">
        <w:rPr>
          <w:rFonts w:ascii="Century Schoolbook" w:hAnsi="Century Schoolbook"/>
          <w:sz w:val="24"/>
          <w:szCs w:val="24"/>
        </w:rPr>
        <w:t>The second appeal related to a terrace in London. One argument focused primarily on the requirement in s.72(3)(b) that “the structure of the building is such that it could be redeveloped independently of the rest of the building”. The Court of Appeal found that this requirement was met, notwithstanding that extensive works would be likely to require temporary support for the neighbouring properties.</w:t>
      </w:r>
    </w:p>
    <w:p w14:paraId="51A0C879" w14:textId="77777777" w:rsidR="009F0B35" w:rsidRPr="00235C33" w:rsidRDefault="009F0B35" w:rsidP="009F0B35">
      <w:pPr>
        <w:jc w:val="both"/>
        <w:rPr>
          <w:rFonts w:ascii="Century Schoolbook" w:hAnsi="Century Schoolbook"/>
          <w:b/>
          <w:i/>
          <w:sz w:val="24"/>
          <w:szCs w:val="24"/>
        </w:rPr>
      </w:pPr>
      <w:r w:rsidRPr="00235C33">
        <w:rPr>
          <w:rFonts w:ascii="Century Schoolbook" w:hAnsi="Century Schoolbook"/>
          <w:b/>
          <w:i/>
          <w:sz w:val="24"/>
          <w:szCs w:val="24"/>
        </w:rPr>
        <w:t xml:space="preserve">Why it’s important </w:t>
      </w:r>
    </w:p>
    <w:p w14:paraId="2037B99A" w14:textId="77777777" w:rsidR="009F0B35" w:rsidRPr="00235C33" w:rsidRDefault="009F0B35" w:rsidP="009F0B35">
      <w:pPr>
        <w:jc w:val="both"/>
        <w:rPr>
          <w:rFonts w:ascii="Century Schoolbook" w:hAnsi="Century Schoolbook"/>
          <w:sz w:val="24"/>
          <w:szCs w:val="24"/>
        </w:rPr>
      </w:pPr>
      <w:r w:rsidRPr="00BD1254">
        <w:rPr>
          <w:rFonts w:ascii="Century Schoolbook" w:hAnsi="Century Schoolbook"/>
          <w:sz w:val="24"/>
          <w:szCs w:val="24"/>
        </w:rPr>
        <w:t>The Court of Appeal’s judgment is practical and pragmatic, with a particular focus on avoiding the difficulties associated with shared management arrangements. It emphasises that the vertical division test is a physical one and may be satisfied by a notional line, such that a terrace divided by a party wall is capable of being self-contained, whereas an open-plan car park is not. The court rejected the argument that shared foundations prevent vertical division, distinguishing the management of foundations from that of shared estate facilities. As for redevelopment, the court emphasised that the question is one of degree and does not require the assumption that the entire structure has been removed. The judgment is likely to prove a useful one for practitioners faced with these and similar issues.</w:t>
      </w:r>
    </w:p>
    <w:p w14:paraId="509AE2A1" w14:textId="10976842" w:rsidR="00351091" w:rsidRPr="00235C33" w:rsidRDefault="00351091" w:rsidP="00BF4684">
      <w:pPr>
        <w:jc w:val="both"/>
        <w:rPr>
          <w:rFonts w:ascii="Century Schoolbook" w:hAnsi="Century Schoolbook"/>
          <w:sz w:val="24"/>
          <w:szCs w:val="24"/>
        </w:rPr>
      </w:pPr>
      <w:r w:rsidRPr="00235C33">
        <w:rPr>
          <w:rFonts w:ascii="Century Schoolbook" w:hAnsi="Century Schoolbook"/>
          <w:sz w:val="24"/>
          <w:szCs w:val="24"/>
        </w:rPr>
        <w:t>----------------------------------------------------------------------------------------------------------------</w:t>
      </w:r>
    </w:p>
    <w:p w14:paraId="7EA26B62" w14:textId="77777777" w:rsidR="00C95C43" w:rsidRPr="00235C33" w:rsidRDefault="00C95C43" w:rsidP="004C3CDF">
      <w:pPr>
        <w:rPr>
          <w:rFonts w:ascii="Century Schoolbook" w:hAnsi="Century Schoolbook"/>
          <w:b/>
          <w:bCs/>
        </w:rPr>
      </w:pPr>
    </w:p>
    <w:p w14:paraId="3EBE6758" w14:textId="07B1785F" w:rsidR="00CE173B" w:rsidRPr="00B043BE" w:rsidRDefault="0080372F" w:rsidP="004C3CDF">
      <w:pPr>
        <w:rPr>
          <w:rFonts w:ascii="Century Schoolbook" w:hAnsi="Century Schoolbook"/>
          <w:b/>
          <w:bCs/>
          <w:color w:val="212121"/>
          <w:sz w:val="28"/>
          <w:szCs w:val="28"/>
          <w:shd w:val="clear" w:color="auto" w:fill="FFFFFF"/>
        </w:rPr>
      </w:pPr>
      <w:r w:rsidRPr="0080372F">
        <w:rPr>
          <w:rFonts w:ascii="Century Schoolbook" w:hAnsi="Century Schoolbook"/>
          <w:b/>
          <w:bCs/>
          <w:sz w:val="28"/>
          <w:szCs w:val="28"/>
        </w:rPr>
        <w:t>Kapadia v The Church Commissioners for England [2026] UKUT 220 (LC)</w:t>
      </w:r>
    </w:p>
    <w:p w14:paraId="237415B1" w14:textId="77777777" w:rsidR="00B043BE" w:rsidRDefault="00F022FE" w:rsidP="00BF4684">
      <w:pPr>
        <w:jc w:val="both"/>
        <w:rPr>
          <w:rFonts w:ascii="Century Schoolbook" w:hAnsi="Century Schoolbook"/>
          <w:b/>
          <w:i/>
          <w:color w:val="212121"/>
          <w:sz w:val="24"/>
          <w:szCs w:val="24"/>
          <w:shd w:val="clear" w:color="auto" w:fill="FFFFFF"/>
        </w:rPr>
      </w:pPr>
      <w:r w:rsidRPr="00B043BE">
        <w:rPr>
          <w:rFonts w:ascii="Century Schoolbook" w:hAnsi="Century Schoolbook"/>
          <w:b/>
          <w:i/>
          <w:color w:val="212121"/>
          <w:sz w:val="24"/>
          <w:szCs w:val="24"/>
          <w:shd w:val="clear" w:color="auto" w:fill="FFFFFF"/>
        </w:rPr>
        <w:t>Summary</w:t>
      </w:r>
    </w:p>
    <w:p w14:paraId="26F08A6A" w14:textId="776EAFFE" w:rsidR="003019A3" w:rsidRPr="003019A3" w:rsidRDefault="003019A3" w:rsidP="003019A3">
      <w:pPr>
        <w:jc w:val="both"/>
        <w:rPr>
          <w:rFonts w:ascii="Century Schoolbook" w:hAnsi="Century Schoolbook"/>
          <w:color w:val="212121"/>
          <w:sz w:val="24"/>
          <w:szCs w:val="24"/>
          <w:shd w:val="clear" w:color="auto" w:fill="FFFFFF"/>
        </w:rPr>
      </w:pPr>
      <w:r w:rsidRPr="003019A3">
        <w:rPr>
          <w:rFonts w:ascii="Century Schoolbook" w:hAnsi="Century Schoolbook"/>
          <w:color w:val="212121"/>
          <w:sz w:val="24"/>
          <w:szCs w:val="24"/>
          <w:shd w:val="clear" w:color="auto" w:fill="FFFFFF"/>
        </w:rPr>
        <w:t>The Upper Tribunal determined an appeal concerning payability of residential service charges.</w:t>
      </w:r>
    </w:p>
    <w:p w14:paraId="74FADC9F" w14:textId="77777777" w:rsidR="003019A3" w:rsidRPr="003019A3" w:rsidRDefault="003019A3" w:rsidP="003019A3">
      <w:pPr>
        <w:jc w:val="both"/>
        <w:rPr>
          <w:rFonts w:ascii="Century Schoolbook" w:hAnsi="Century Schoolbook"/>
          <w:color w:val="212121"/>
          <w:sz w:val="24"/>
          <w:szCs w:val="24"/>
          <w:shd w:val="clear" w:color="auto" w:fill="FFFFFF"/>
        </w:rPr>
      </w:pPr>
      <w:r w:rsidRPr="003019A3">
        <w:rPr>
          <w:rFonts w:ascii="Century Schoolbook" w:hAnsi="Century Schoolbook"/>
          <w:color w:val="212121"/>
          <w:sz w:val="24"/>
          <w:szCs w:val="24"/>
          <w:shd w:val="clear" w:color="auto" w:fill="FFFFFF"/>
        </w:rPr>
        <w:t>Specifically, the UT concluded, on the terms of the leases in question:</w:t>
      </w:r>
    </w:p>
    <w:p w14:paraId="56EEB0FA" w14:textId="77777777" w:rsidR="003019A3" w:rsidRPr="003019A3" w:rsidRDefault="003019A3" w:rsidP="003019A3">
      <w:pPr>
        <w:jc w:val="both"/>
        <w:rPr>
          <w:rFonts w:ascii="Century Schoolbook" w:hAnsi="Century Schoolbook"/>
          <w:color w:val="212121"/>
          <w:sz w:val="24"/>
          <w:szCs w:val="24"/>
          <w:shd w:val="clear" w:color="auto" w:fill="FFFFFF"/>
        </w:rPr>
      </w:pPr>
      <w:r w:rsidRPr="003019A3">
        <w:rPr>
          <w:rFonts w:ascii="Century Schoolbook" w:hAnsi="Century Schoolbook"/>
          <w:color w:val="212121"/>
          <w:sz w:val="24"/>
          <w:szCs w:val="24"/>
          <w:shd w:val="clear" w:color="auto" w:fill="FFFFFF"/>
        </w:rPr>
        <w:t>1.</w:t>
      </w:r>
      <w:r w:rsidRPr="003019A3">
        <w:rPr>
          <w:rFonts w:ascii="Century Schoolbook" w:hAnsi="Century Schoolbook"/>
          <w:color w:val="212121"/>
          <w:sz w:val="24"/>
          <w:szCs w:val="24"/>
          <w:shd w:val="clear" w:color="auto" w:fill="FFFFFF"/>
        </w:rPr>
        <w:tab/>
        <w:t xml:space="preserve">Where interim service charges were required to be estimated by a ‘surveyor’, that did not require that individual to hold any </w:t>
      </w:r>
      <w:proofErr w:type="gramStart"/>
      <w:r w:rsidRPr="003019A3">
        <w:rPr>
          <w:rFonts w:ascii="Century Schoolbook" w:hAnsi="Century Schoolbook"/>
          <w:color w:val="212121"/>
          <w:sz w:val="24"/>
          <w:szCs w:val="24"/>
          <w:shd w:val="clear" w:color="auto" w:fill="FFFFFF"/>
        </w:rPr>
        <w:t>particular formal</w:t>
      </w:r>
      <w:proofErr w:type="gramEnd"/>
      <w:r w:rsidRPr="003019A3">
        <w:rPr>
          <w:rFonts w:ascii="Century Schoolbook" w:hAnsi="Century Schoolbook"/>
          <w:color w:val="212121"/>
          <w:sz w:val="24"/>
          <w:szCs w:val="24"/>
          <w:shd w:val="clear" w:color="auto" w:fill="FFFFFF"/>
        </w:rPr>
        <w:t xml:space="preserve"> qualification. The choice of the landlord’s appointee would be open to challenge only in extreme circumstances, such as if the landlord appointed a dentist or a vet.</w:t>
      </w:r>
    </w:p>
    <w:p w14:paraId="1E085258" w14:textId="77777777" w:rsidR="003019A3" w:rsidRPr="003019A3" w:rsidRDefault="003019A3" w:rsidP="003019A3">
      <w:pPr>
        <w:jc w:val="both"/>
        <w:rPr>
          <w:rFonts w:ascii="Century Schoolbook" w:hAnsi="Century Schoolbook"/>
          <w:color w:val="212121"/>
          <w:sz w:val="24"/>
          <w:szCs w:val="24"/>
          <w:shd w:val="clear" w:color="auto" w:fill="FFFFFF"/>
        </w:rPr>
      </w:pPr>
      <w:r w:rsidRPr="003019A3">
        <w:rPr>
          <w:rFonts w:ascii="Century Schoolbook" w:hAnsi="Century Schoolbook"/>
          <w:color w:val="212121"/>
          <w:sz w:val="24"/>
          <w:szCs w:val="24"/>
          <w:shd w:val="clear" w:color="auto" w:fill="FFFFFF"/>
        </w:rPr>
        <w:lastRenderedPageBreak/>
        <w:t>2.</w:t>
      </w:r>
      <w:r w:rsidRPr="003019A3">
        <w:rPr>
          <w:rFonts w:ascii="Century Schoolbook" w:hAnsi="Century Schoolbook"/>
          <w:color w:val="212121"/>
          <w:sz w:val="24"/>
          <w:szCs w:val="24"/>
          <w:shd w:val="clear" w:color="auto" w:fill="FFFFFF"/>
        </w:rPr>
        <w:tab/>
        <w:t xml:space="preserve">Balancing charges fell to be calculated by reference to a certain year end date. Annual accounts had to be prepared by reference to that specific date; it was not acceptable, contrary to the FTT’s determination, to require leaseholders to overpay for a few days </w:t>
      </w:r>
      <w:proofErr w:type="gramStart"/>
      <w:r w:rsidRPr="003019A3">
        <w:rPr>
          <w:rFonts w:ascii="Century Schoolbook" w:hAnsi="Century Schoolbook"/>
          <w:color w:val="212121"/>
          <w:sz w:val="24"/>
          <w:szCs w:val="24"/>
          <w:shd w:val="clear" w:color="auto" w:fill="FFFFFF"/>
        </w:rPr>
        <w:t>and also</w:t>
      </w:r>
      <w:proofErr w:type="gramEnd"/>
      <w:r w:rsidRPr="003019A3">
        <w:rPr>
          <w:rFonts w:ascii="Century Schoolbook" w:hAnsi="Century Schoolbook"/>
          <w:color w:val="212121"/>
          <w:sz w:val="24"/>
          <w:szCs w:val="24"/>
          <w:shd w:val="clear" w:color="auto" w:fill="FFFFFF"/>
        </w:rPr>
        <w:t xml:space="preserve"> pay the balancing charge when the preconditions had not been fulfilled.</w:t>
      </w:r>
    </w:p>
    <w:p w14:paraId="404BC68C" w14:textId="77777777" w:rsidR="003019A3" w:rsidRPr="003019A3" w:rsidRDefault="003019A3" w:rsidP="003019A3">
      <w:pPr>
        <w:jc w:val="both"/>
        <w:rPr>
          <w:rFonts w:ascii="Century Schoolbook" w:hAnsi="Century Schoolbook"/>
          <w:color w:val="212121"/>
          <w:sz w:val="24"/>
          <w:szCs w:val="24"/>
          <w:shd w:val="clear" w:color="auto" w:fill="FFFFFF"/>
        </w:rPr>
      </w:pPr>
      <w:r w:rsidRPr="003019A3">
        <w:rPr>
          <w:rFonts w:ascii="Century Schoolbook" w:hAnsi="Century Schoolbook"/>
          <w:color w:val="212121"/>
          <w:sz w:val="24"/>
          <w:szCs w:val="24"/>
          <w:shd w:val="clear" w:color="auto" w:fill="FFFFFF"/>
        </w:rPr>
        <w:t>3.</w:t>
      </w:r>
      <w:r w:rsidRPr="003019A3">
        <w:rPr>
          <w:rFonts w:ascii="Century Schoolbook" w:hAnsi="Century Schoolbook"/>
          <w:color w:val="212121"/>
          <w:sz w:val="24"/>
          <w:szCs w:val="24"/>
          <w:shd w:val="clear" w:color="auto" w:fill="FFFFFF"/>
        </w:rPr>
        <w:tab/>
        <w:t>No term could be implied varying fixed percentage contributions to a reasonable sum where the number of type of lettings on the estate had changed. It was far from obvious either that such a term should be implied or exactly what should trigger it, and it was relevant that the leases contained other provisions about reapportionment.</w:t>
      </w:r>
    </w:p>
    <w:p w14:paraId="5EA0F004" w14:textId="360CB4C3" w:rsidR="00CE173B" w:rsidRPr="00B043BE" w:rsidRDefault="003019A3" w:rsidP="003019A3">
      <w:pPr>
        <w:jc w:val="both"/>
        <w:rPr>
          <w:rFonts w:ascii="Century Schoolbook" w:hAnsi="Century Schoolbook"/>
          <w:color w:val="212121"/>
          <w:sz w:val="24"/>
          <w:szCs w:val="24"/>
          <w:shd w:val="clear" w:color="auto" w:fill="FFFFFF"/>
        </w:rPr>
      </w:pPr>
      <w:r w:rsidRPr="003019A3">
        <w:rPr>
          <w:rFonts w:ascii="Century Schoolbook" w:hAnsi="Century Schoolbook"/>
          <w:color w:val="212121"/>
          <w:sz w:val="24"/>
          <w:szCs w:val="24"/>
          <w:shd w:val="clear" w:color="auto" w:fill="FFFFFF"/>
        </w:rPr>
        <w:t>4.</w:t>
      </w:r>
      <w:r w:rsidRPr="003019A3">
        <w:rPr>
          <w:rFonts w:ascii="Century Schoolbook" w:hAnsi="Century Schoolbook"/>
          <w:color w:val="212121"/>
          <w:sz w:val="24"/>
          <w:szCs w:val="24"/>
          <w:shd w:val="clear" w:color="auto" w:fill="FFFFFF"/>
        </w:rPr>
        <w:tab/>
        <w:t>The provisions relating to payment of legal costs did not permit what the landlord had been doing, which was to finance disputes with leaseholders through the service charge and then reimburse the service charge account once costs were recovered from the leaseholder in question.</w:t>
      </w:r>
    </w:p>
    <w:p w14:paraId="2EE75456" w14:textId="77777777" w:rsidR="00B043BE" w:rsidRDefault="00F022FE" w:rsidP="00BF4684">
      <w:pPr>
        <w:jc w:val="both"/>
        <w:rPr>
          <w:rFonts w:ascii="Century Schoolbook" w:hAnsi="Century Schoolbook"/>
          <w:b/>
          <w:i/>
          <w:color w:val="212121"/>
          <w:sz w:val="24"/>
          <w:szCs w:val="24"/>
          <w:shd w:val="clear" w:color="auto" w:fill="FFFFFF"/>
        </w:rPr>
      </w:pPr>
      <w:r w:rsidRPr="00B043BE">
        <w:rPr>
          <w:rFonts w:ascii="Century Schoolbook" w:hAnsi="Century Schoolbook"/>
          <w:b/>
          <w:i/>
          <w:color w:val="212121"/>
          <w:sz w:val="24"/>
          <w:szCs w:val="24"/>
          <w:shd w:val="clear" w:color="auto" w:fill="FFFFFF"/>
        </w:rPr>
        <w:t>Why it’s important</w:t>
      </w:r>
    </w:p>
    <w:p w14:paraId="36D9B166" w14:textId="3F6A1CEE" w:rsidR="00F022FE" w:rsidRDefault="00A51097" w:rsidP="00BF4684">
      <w:pPr>
        <w:jc w:val="both"/>
        <w:rPr>
          <w:rFonts w:ascii="Century Schoolbook" w:hAnsi="Century Schoolbook"/>
          <w:color w:val="212121"/>
          <w:sz w:val="24"/>
          <w:szCs w:val="24"/>
          <w:shd w:val="clear" w:color="auto" w:fill="FFFFFF"/>
        </w:rPr>
      </w:pPr>
      <w:r w:rsidRPr="00A51097">
        <w:rPr>
          <w:rFonts w:ascii="Century Schoolbook" w:hAnsi="Century Schoolbook"/>
          <w:color w:val="212121"/>
          <w:sz w:val="24"/>
          <w:szCs w:val="24"/>
          <w:shd w:val="clear" w:color="auto" w:fill="FFFFFF"/>
        </w:rPr>
        <w:t xml:space="preserve">Although each lease falls to be construed individually, this judgment provides a useful example of </w:t>
      </w:r>
      <w:proofErr w:type="gramStart"/>
      <w:r w:rsidRPr="00A51097">
        <w:rPr>
          <w:rFonts w:ascii="Century Schoolbook" w:hAnsi="Century Schoolbook"/>
          <w:color w:val="212121"/>
          <w:sz w:val="24"/>
          <w:szCs w:val="24"/>
          <w:shd w:val="clear" w:color="auto" w:fill="FFFFFF"/>
        </w:rPr>
        <w:t>a number of</w:t>
      </w:r>
      <w:proofErr w:type="gramEnd"/>
      <w:r w:rsidRPr="00A51097">
        <w:rPr>
          <w:rFonts w:ascii="Century Schoolbook" w:hAnsi="Century Schoolbook"/>
          <w:color w:val="212121"/>
          <w:sz w:val="24"/>
          <w:szCs w:val="24"/>
          <w:shd w:val="clear" w:color="auto" w:fill="FFFFFF"/>
        </w:rPr>
        <w:t xml:space="preserve"> issues which commonly arise in </w:t>
      </w:r>
      <w:proofErr w:type="gramStart"/>
      <w:r w:rsidRPr="00A51097">
        <w:rPr>
          <w:rFonts w:ascii="Century Schoolbook" w:hAnsi="Century Schoolbook"/>
          <w:color w:val="212121"/>
          <w:sz w:val="24"/>
          <w:szCs w:val="24"/>
          <w:shd w:val="clear" w:color="auto" w:fill="FFFFFF"/>
        </w:rPr>
        <w:t>practice, and</w:t>
      </w:r>
      <w:proofErr w:type="gramEnd"/>
      <w:r w:rsidRPr="00A51097">
        <w:rPr>
          <w:rFonts w:ascii="Century Schoolbook" w:hAnsi="Century Schoolbook"/>
          <w:color w:val="212121"/>
          <w:sz w:val="24"/>
          <w:szCs w:val="24"/>
          <w:shd w:val="clear" w:color="auto" w:fill="FFFFFF"/>
        </w:rPr>
        <w:t xml:space="preserve"> may be useful to practitioners construing other similar provisions.</w:t>
      </w:r>
    </w:p>
    <w:p w14:paraId="6ECF3A95" w14:textId="77777777" w:rsidR="00723225" w:rsidRDefault="00723225" w:rsidP="00BF4684">
      <w:pPr>
        <w:jc w:val="both"/>
        <w:rPr>
          <w:rFonts w:ascii="Century Schoolbook" w:hAnsi="Century Schoolbook"/>
          <w:color w:val="212121"/>
          <w:sz w:val="24"/>
          <w:szCs w:val="24"/>
          <w:shd w:val="clear" w:color="auto" w:fill="FFFFFF"/>
        </w:rPr>
      </w:pPr>
    </w:p>
    <w:p w14:paraId="38EDD5E6" w14:textId="158E0121" w:rsidR="00A64A6F" w:rsidRDefault="00515BC4" w:rsidP="00723225">
      <w:pPr>
        <w:ind w:left="4320" w:firstLine="720"/>
        <w:jc w:val="both"/>
        <w:rPr>
          <w:rFonts w:ascii="Century Schoolbook" w:hAnsi="Century Schoolbook"/>
          <w:color w:val="212121"/>
          <w:sz w:val="24"/>
          <w:szCs w:val="24"/>
          <w:shd w:val="clear" w:color="auto" w:fill="FFFFFF"/>
        </w:rPr>
      </w:pPr>
      <w:r>
        <w:rPr>
          <w:rFonts w:ascii="Century Schoolbook" w:hAnsi="Century Schoolbook"/>
          <w:color w:val="212121"/>
          <w:sz w:val="24"/>
          <w:szCs w:val="24"/>
          <w:shd w:val="clear" w:color="auto" w:fill="FFFFFF"/>
        </w:rPr>
        <w:t>CATHERINE TASKIS</w:t>
      </w:r>
      <w:r w:rsidR="00A64A6F">
        <w:rPr>
          <w:rFonts w:ascii="Century Schoolbook" w:hAnsi="Century Schoolbook"/>
          <w:color w:val="212121"/>
          <w:sz w:val="24"/>
          <w:szCs w:val="24"/>
          <w:shd w:val="clear" w:color="auto" w:fill="FFFFFF"/>
        </w:rPr>
        <w:t xml:space="preserve"> </w:t>
      </w:r>
      <w:r w:rsidR="00861416">
        <w:rPr>
          <w:rFonts w:ascii="Century Schoolbook" w:hAnsi="Century Schoolbook"/>
          <w:color w:val="212121"/>
          <w:sz w:val="24"/>
          <w:szCs w:val="24"/>
          <w:shd w:val="clear" w:color="auto" w:fill="FFFFFF"/>
        </w:rPr>
        <w:t>K.C.</w:t>
      </w:r>
    </w:p>
    <w:p w14:paraId="5A40563A" w14:textId="021F4E69" w:rsidR="0067019D" w:rsidRPr="00B043BE" w:rsidRDefault="00723225" w:rsidP="0073309D">
      <w:pPr>
        <w:ind w:left="4320" w:firstLine="720"/>
        <w:jc w:val="both"/>
        <w:rPr>
          <w:rFonts w:ascii="Century Schoolbook" w:hAnsi="Century Schoolbook"/>
          <w:sz w:val="24"/>
          <w:szCs w:val="24"/>
        </w:rPr>
      </w:pPr>
      <w:r>
        <w:rPr>
          <w:rFonts w:ascii="Century Schoolbook" w:hAnsi="Century Schoolbook"/>
          <w:color w:val="212121"/>
          <w:sz w:val="24"/>
          <w:szCs w:val="24"/>
          <w:shd w:val="clear" w:color="auto" w:fill="FFFFFF"/>
        </w:rPr>
        <w:t xml:space="preserve">FERN </w:t>
      </w:r>
      <w:r w:rsidR="0073309D">
        <w:rPr>
          <w:rFonts w:ascii="Century Schoolbook" w:hAnsi="Century Schoolbook"/>
          <w:color w:val="212121"/>
          <w:sz w:val="24"/>
          <w:szCs w:val="24"/>
          <w:shd w:val="clear" w:color="auto" w:fill="FFFFFF"/>
        </w:rPr>
        <w:t>SCHOFIELD</w:t>
      </w:r>
    </w:p>
    <w:sectPr w:rsidR="0067019D" w:rsidRPr="00B043B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15CF6" w14:textId="77777777" w:rsidR="00E20902" w:rsidRDefault="00E20902" w:rsidP="00E85099">
      <w:pPr>
        <w:spacing w:after="0" w:line="240" w:lineRule="auto"/>
      </w:pPr>
      <w:r>
        <w:separator/>
      </w:r>
    </w:p>
  </w:endnote>
  <w:endnote w:type="continuationSeparator" w:id="0">
    <w:p w14:paraId="1421C69A" w14:textId="77777777" w:rsidR="00E20902" w:rsidRDefault="00E20902" w:rsidP="00E85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0E332" w14:textId="77777777" w:rsidR="00E20902" w:rsidRDefault="00E20902" w:rsidP="00E85099">
      <w:pPr>
        <w:spacing w:after="0" w:line="240" w:lineRule="auto"/>
      </w:pPr>
      <w:r>
        <w:separator/>
      </w:r>
    </w:p>
  </w:footnote>
  <w:footnote w:type="continuationSeparator" w:id="0">
    <w:p w14:paraId="485921B9" w14:textId="77777777" w:rsidR="00E20902" w:rsidRDefault="00E20902" w:rsidP="00E85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3936" w14:textId="69B23D79" w:rsidR="00E85099" w:rsidRDefault="00E85099" w:rsidP="00E85099">
    <w:pPr>
      <w:pStyle w:val="Header"/>
      <w:jc w:val="center"/>
    </w:pPr>
    <w:r>
      <w:rPr>
        <w:noProof/>
      </w:rPr>
      <w:drawing>
        <wp:inline distT="0" distB="0" distL="0" distR="0" wp14:anchorId="75ED49BC" wp14:editId="756102F4">
          <wp:extent cx="2438400" cy="551652"/>
          <wp:effectExtent l="0" t="0" r="0" b="1270"/>
          <wp:docPr id="1492767258"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767258"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38400" cy="551652"/>
                  </a:xfrm>
                  <a:prstGeom prst="rect">
                    <a:avLst/>
                  </a:prstGeom>
                </pic:spPr>
              </pic:pic>
            </a:graphicData>
          </a:graphic>
        </wp:inline>
      </w:drawing>
    </w:r>
  </w:p>
  <w:p w14:paraId="4C260F8C" w14:textId="77777777" w:rsidR="00E85099" w:rsidRDefault="00E85099" w:rsidP="00E85099">
    <w:pPr>
      <w:pStyle w:val="Header"/>
      <w:jc w:val="center"/>
    </w:pPr>
  </w:p>
  <w:p w14:paraId="11B8BA5D" w14:textId="77777777" w:rsidR="00E85099" w:rsidRDefault="00E85099" w:rsidP="00E85099">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E9"/>
    <w:rsid w:val="00003648"/>
    <w:rsid w:val="0003289A"/>
    <w:rsid w:val="00074AAC"/>
    <w:rsid w:val="00075273"/>
    <w:rsid w:val="000A35C4"/>
    <w:rsid w:val="000C394B"/>
    <w:rsid w:val="000C6D35"/>
    <w:rsid w:val="000F45EA"/>
    <w:rsid w:val="000F68E9"/>
    <w:rsid w:val="00103C56"/>
    <w:rsid w:val="00103D2E"/>
    <w:rsid w:val="00121ECE"/>
    <w:rsid w:val="00132DF0"/>
    <w:rsid w:val="00135C0B"/>
    <w:rsid w:val="00185368"/>
    <w:rsid w:val="001C1343"/>
    <w:rsid w:val="001C5D94"/>
    <w:rsid w:val="00215A5E"/>
    <w:rsid w:val="00231F49"/>
    <w:rsid w:val="00235C33"/>
    <w:rsid w:val="00274FE5"/>
    <w:rsid w:val="0028189C"/>
    <w:rsid w:val="002943F4"/>
    <w:rsid w:val="0029495A"/>
    <w:rsid w:val="002F0C9D"/>
    <w:rsid w:val="002F345E"/>
    <w:rsid w:val="003019A3"/>
    <w:rsid w:val="00307BDB"/>
    <w:rsid w:val="003112B4"/>
    <w:rsid w:val="00312479"/>
    <w:rsid w:val="00351091"/>
    <w:rsid w:val="003558C1"/>
    <w:rsid w:val="00452CCE"/>
    <w:rsid w:val="004C286D"/>
    <w:rsid w:val="004C3CDF"/>
    <w:rsid w:val="004C4B2E"/>
    <w:rsid w:val="00501CE7"/>
    <w:rsid w:val="00515BC4"/>
    <w:rsid w:val="00530015"/>
    <w:rsid w:val="00551CF7"/>
    <w:rsid w:val="005753F8"/>
    <w:rsid w:val="0059210A"/>
    <w:rsid w:val="00621417"/>
    <w:rsid w:val="0067019D"/>
    <w:rsid w:val="006E78A0"/>
    <w:rsid w:val="00723225"/>
    <w:rsid w:val="007232F1"/>
    <w:rsid w:val="0073309D"/>
    <w:rsid w:val="00736E16"/>
    <w:rsid w:val="00744152"/>
    <w:rsid w:val="0074504B"/>
    <w:rsid w:val="00774F17"/>
    <w:rsid w:val="00780AB4"/>
    <w:rsid w:val="007A4F18"/>
    <w:rsid w:val="007A7E6F"/>
    <w:rsid w:val="007F3668"/>
    <w:rsid w:val="007F58CD"/>
    <w:rsid w:val="0080372F"/>
    <w:rsid w:val="00860887"/>
    <w:rsid w:val="00861416"/>
    <w:rsid w:val="008657C8"/>
    <w:rsid w:val="008906A7"/>
    <w:rsid w:val="00891EAD"/>
    <w:rsid w:val="008A1A88"/>
    <w:rsid w:val="008A5A17"/>
    <w:rsid w:val="009076CD"/>
    <w:rsid w:val="00965A2C"/>
    <w:rsid w:val="00983567"/>
    <w:rsid w:val="00985BBC"/>
    <w:rsid w:val="009A5848"/>
    <w:rsid w:val="009F0B35"/>
    <w:rsid w:val="00A43068"/>
    <w:rsid w:val="00A51097"/>
    <w:rsid w:val="00A60D18"/>
    <w:rsid w:val="00A64A6F"/>
    <w:rsid w:val="00A717D5"/>
    <w:rsid w:val="00AB07D5"/>
    <w:rsid w:val="00AF5527"/>
    <w:rsid w:val="00B043BE"/>
    <w:rsid w:val="00B221E6"/>
    <w:rsid w:val="00B31D8E"/>
    <w:rsid w:val="00B35B51"/>
    <w:rsid w:val="00B62525"/>
    <w:rsid w:val="00B97B05"/>
    <w:rsid w:val="00BA2571"/>
    <w:rsid w:val="00BC0DFA"/>
    <w:rsid w:val="00BD1254"/>
    <w:rsid w:val="00BD2C69"/>
    <w:rsid w:val="00BF4684"/>
    <w:rsid w:val="00C21813"/>
    <w:rsid w:val="00C901C5"/>
    <w:rsid w:val="00C95C43"/>
    <w:rsid w:val="00CA47E9"/>
    <w:rsid w:val="00CB138B"/>
    <w:rsid w:val="00CB1AD7"/>
    <w:rsid w:val="00CC2E19"/>
    <w:rsid w:val="00CD1520"/>
    <w:rsid w:val="00CE173B"/>
    <w:rsid w:val="00CE1878"/>
    <w:rsid w:val="00CF4E79"/>
    <w:rsid w:val="00D157DC"/>
    <w:rsid w:val="00D82B04"/>
    <w:rsid w:val="00DA7D90"/>
    <w:rsid w:val="00DC3380"/>
    <w:rsid w:val="00DC5E5A"/>
    <w:rsid w:val="00DF1E6C"/>
    <w:rsid w:val="00DF56AE"/>
    <w:rsid w:val="00DF5937"/>
    <w:rsid w:val="00E063DB"/>
    <w:rsid w:val="00E138FF"/>
    <w:rsid w:val="00E20902"/>
    <w:rsid w:val="00E85099"/>
    <w:rsid w:val="00EA53ED"/>
    <w:rsid w:val="00EA671F"/>
    <w:rsid w:val="00EE2D9A"/>
    <w:rsid w:val="00F01349"/>
    <w:rsid w:val="00F022FE"/>
    <w:rsid w:val="00F53124"/>
    <w:rsid w:val="00FE7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3AFA5"/>
  <w15:chartTrackingRefBased/>
  <w15:docId w15:val="{B5E157F2-34CB-4628-9B83-164C3AAD9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C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3C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24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12479"/>
    <w:rPr>
      <w:b/>
      <w:bCs/>
    </w:rPr>
  </w:style>
  <w:style w:type="character" w:customStyle="1" w:styleId="Heading1Char">
    <w:name w:val="Heading 1 Char"/>
    <w:basedOn w:val="DefaultParagraphFont"/>
    <w:link w:val="Heading1"/>
    <w:uiPriority w:val="9"/>
    <w:rsid w:val="004C3CD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C3CDF"/>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E850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099"/>
  </w:style>
  <w:style w:type="paragraph" w:styleId="Footer">
    <w:name w:val="footer"/>
    <w:basedOn w:val="Normal"/>
    <w:link w:val="FooterChar"/>
    <w:uiPriority w:val="99"/>
    <w:unhideWhenUsed/>
    <w:rsid w:val="00E850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2463">
      <w:bodyDiv w:val="1"/>
      <w:marLeft w:val="0"/>
      <w:marRight w:val="0"/>
      <w:marTop w:val="0"/>
      <w:marBottom w:val="0"/>
      <w:divBdr>
        <w:top w:val="none" w:sz="0" w:space="0" w:color="auto"/>
        <w:left w:val="none" w:sz="0" w:space="0" w:color="auto"/>
        <w:bottom w:val="none" w:sz="0" w:space="0" w:color="auto"/>
        <w:right w:val="none" w:sz="0" w:space="0" w:color="auto"/>
      </w:divBdr>
    </w:div>
    <w:div w:id="174414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 Horsfield-Schonhut</dc:creator>
  <cp:keywords/>
  <dc:description/>
  <cp:lastModifiedBy>Nina Bhose</cp:lastModifiedBy>
  <cp:revision>3</cp:revision>
  <dcterms:created xsi:type="dcterms:W3CDTF">2026-07-03T08:59:00Z</dcterms:created>
  <dcterms:modified xsi:type="dcterms:W3CDTF">2026-07-03T09:20:00Z</dcterms:modified>
</cp:coreProperties>
</file>