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0B3F" w14:textId="412E533C" w:rsidR="00A43068" w:rsidRDefault="00A43068" w:rsidP="001932EE">
      <w:pPr>
        <w:jc w:val="both"/>
        <w:rPr>
          <w:rFonts w:ascii="Century Schoolbook" w:hAnsi="Century Schoolbook"/>
          <w:bCs/>
          <w:sz w:val="24"/>
          <w:szCs w:val="24"/>
          <w:lang w:eastAsia="en-GB"/>
        </w:rPr>
      </w:pPr>
      <w:r w:rsidRPr="00235C33">
        <w:rPr>
          <w:rFonts w:ascii="Century Schoolbook" w:hAnsi="Century Schoolbook"/>
          <w:bCs/>
          <w:sz w:val="24"/>
          <w:szCs w:val="24"/>
          <w:lang w:eastAsia="en-GB"/>
        </w:rPr>
        <w:t xml:space="preserve">In this series of articles, we aim to </w:t>
      </w:r>
      <w:r w:rsidR="00351091" w:rsidRPr="00235C33">
        <w:rPr>
          <w:rFonts w:ascii="Century Schoolbook" w:hAnsi="Century Schoolbook"/>
          <w:bCs/>
          <w:sz w:val="24"/>
          <w:szCs w:val="24"/>
          <w:lang w:eastAsia="en-GB"/>
        </w:rPr>
        <w:t>highlight 3</w:t>
      </w:r>
      <w:r w:rsidRPr="00235C33">
        <w:rPr>
          <w:rFonts w:ascii="Century Schoolbook" w:hAnsi="Century Schoolbook"/>
          <w:bCs/>
          <w:sz w:val="24"/>
          <w:szCs w:val="24"/>
          <w:lang w:eastAsia="en-GB"/>
        </w:rPr>
        <w:t xml:space="preserve"> of the most interesting cases </w:t>
      </w:r>
      <w:r w:rsidR="00351091" w:rsidRPr="00235C33">
        <w:rPr>
          <w:rFonts w:ascii="Century Schoolbook" w:hAnsi="Century Schoolbook"/>
          <w:bCs/>
          <w:sz w:val="24"/>
          <w:szCs w:val="24"/>
          <w:lang w:eastAsia="en-GB"/>
        </w:rPr>
        <w:t xml:space="preserve">in our field decided in the past month. </w:t>
      </w:r>
      <w:r w:rsidR="009D7057">
        <w:rPr>
          <w:rFonts w:ascii="Century Schoolbook" w:hAnsi="Century Schoolbook"/>
          <w:bCs/>
          <w:sz w:val="24"/>
          <w:szCs w:val="24"/>
          <w:lang w:eastAsia="en-GB"/>
        </w:rPr>
        <w:t xml:space="preserve">This month: </w:t>
      </w:r>
      <w:r w:rsidR="006F76D2">
        <w:rPr>
          <w:rFonts w:ascii="Century Schoolbook" w:hAnsi="Century Schoolbook"/>
          <w:bCs/>
          <w:sz w:val="24"/>
          <w:szCs w:val="24"/>
          <w:lang w:eastAsia="en-GB"/>
        </w:rPr>
        <w:t>selective licensing under the Housing Act 2004, the requirements for prescription, and enfranchisement during the registration gap.</w:t>
      </w:r>
    </w:p>
    <w:p w14:paraId="7C799255" w14:textId="401C1A31" w:rsidR="006F76D2" w:rsidRPr="00235C33" w:rsidRDefault="006F76D2" w:rsidP="001932EE">
      <w:pPr>
        <w:jc w:val="both"/>
        <w:rPr>
          <w:rFonts w:ascii="Century Schoolbook" w:hAnsi="Century Schoolbook"/>
          <w:bCs/>
          <w:sz w:val="24"/>
          <w:szCs w:val="24"/>
          <w:lang w:eastAsia="en-GB"/>
        </w:rPr>
      </w:pPr>
      <w:r w:rsidRPr="00453819">
        <w:rPr>
          <w:rFonts w:ascii="Century Schoolbook" w:hAnsi="Century Schoolbook"/>
          <w:bCs/>
          <w:sz w:val="24"/>
          <w:szCs w:val="24"/>
          <w:lang w:eastAsia="en-GB"/>
        </w:rPr>
        <w:t xml:space="preserve">Readers may recall that </w:t>
      </w:r>
      <w:r w:rsidR="00AF1BC8" w:rsidRPr="00453819">
        <w:rPr>
          <w:rFonts w:ascii="Century Schoolbook" w:hAnsi="Century Schoolbook"/>
          <w:bCs/>
          <w:sz w:val="24"/>
          <w:szCs w:val="24"/>
          <w:lang w:eastAsia="en-GB"/>
        </w:rPr>
        <w:t xml:space="preserve">back </w:t>
      </w:r>
      <w:r w:rsidRPr="00453819">
        <w:rPr>
          <w:rFonts w:ascii="Century Schoolbook" w:hAnsi="Century Schoolbook"/>
          <w:bCs/>
          <w:sz w:val="24"/>
          <w:szCs w:val="24"/>
          <w:lang w:eastAsia="en-GB"/>
        </w:rPr>
        <w:t xml:space="preserve">in </w:t>
      </w:r>
      <w:r w:rsidR="00AC58D7" w:rsidRPr="00453819">
        <w:rPr>
          <w:rFonts w:ascii="Century Schoolbook" w:hAnsi="Century Schoolbook"/>
          <w:bCs/>
          <w:sz w:val="24"/>
          <w:szCs w:val="24"/>
          <w:lang w:eastAsia="en-GB"/>
        </w:rPr>
        <w:t xml:space="preserve">March, we covered the </w:t>
      </w:r>
      <w:r w:rsidR="00EF3E5C" w:rsidRPr="00453819">
        <w:rPr>
          <w:rFonts w:ascii="Century Schoolbook" w:hAnsi="Century Schoolbook"/>
          <w:bCs/>
          <w:sz w:val="24"/>
          <w:szCs w:val="24"/>
          <w:lang w:eastAsia="en-GB"/>
        </w:rPr>
        <w:t xml:space="preserve">first instance </w:t>
      </w:r>
      <w:r w:rsidR="00AC58D7" w:rsidRPr="00453819">
        <w:rPr>
          <w:rFonts w:ascii="Century Schoolbook" w:hAnsi="Century Schoolbook"/>
          <w:bCs/>
          <w:sz w:val="24"/>
          <w:szCs w:val="24"/>
          <w:lang w:eastAsia="en-GB"/>
        </w:rPr>
        <w:t xml:space="preserve">decision in </w:t>
      </w:r>
      <w:r w:rsidR="00736F3E" w:rsidRPr="00453819">
        <w:rPr>
          <w:rFonts w:ascii="Century Schoolbook" w:hAnsi="Century Schoolbook"/>
          <w:bCs/>
          <w:sz w:val="24"/>
          <w:szCs w:val="24"/>
          <w:lang w:eastAsia="en-GB"/>
        </w:rPr>
        <w:t>Park Cakes Limited v Caterpillar Property Limited</w:t>
      </w:r>
      <w:r w:rsidR="00EF3E5C" w:rsidRPr="00453819">
        <w:rPr>
          <w:rFonts w:ascii="Century Schoolbook" w:hAnsi="Century Schoolbook"/>
          <w:bCs/>
          <w:sz w:val="24"/>
          <w:szCs w:val="24"/>
          <w:lang w:eastAsia="en-GB"/>
        </w:rPr>
        <w:t>,</w:t>
      </w:r>
      <w:r w:rsidR="001932EE" w:rsidRPr="00453819">
        <w:rPr>
          <w:rStyle w:val="FootnoteReference"/>
          <w:rFonts w:ascii="Century Schoolbook" w:hAnsi="Century Schoolbook"/>
          <w:bCs/>
          <w:sz w:val="24"/>
          <w:szCs w:val="24"/>
          <w:lang w:eastAsia="en-GB"/>
        </w:rPr>
        <w:footnoteReference w:id="1"/>
      </w:r>
      <w:r w:rsidR="00EF3E5C">
        <w:rPr>
          <w:rFonts w:ascii="Century Schoolbook" w:hAnsi="Century Schoolbook"/>
          <w:bCs/>
          <w:sz w:val="24"/>
          <w:szCs w:val="24"/>
          <w:lang w:eastAsia="en-GB"/>
        </w:rPr>
        <w:t xml:space="preserve"> which determined that </w:t>
      </w:r>
      <w:r w:rsidR="00EF3E5C" w:rsidRPr="00EF3E5C">
        <w:rPr>
          <w:rFonts w:ascii="Century Schoolbook" w:hAnsi="Century Schoolbook"/>
          <w:bCs/>
          <w:sz w:val="24"/>
          <w:szCs w:val="24"/>
          <w:lang w:eastAsia="en-GB"/>
        </w:rPr>
        <w:t>a tenant’s option to renew was not an agreement for a future tenancy of the holding such as to take the lease outside Part II of the Landlord and Tenant Act 1954.</w:t>
      </w:r>
      <w:r w:rsidR="00EF3E5C">
        <w:rPr>
          <w:rFonts w:ascii="Century Schoolbook" w:hAnsi="Century Schoolbook"/>
          <w:bCs/>
          <w:sz w:val="24"/>
          <w:szCs w:val="24"/>
          <w:lang w:eastAsia="en-GB"/>
        </w:rPr>
        <w:t xml:space="preserve"> Our colleague James </w:t>
      </w:r>
      <w:r w:rsidR="00966A15">
        <w:rPr>
          <w:rFonts w:ascii="Century Schoolbook" w:hAnsi="Century Schoolbook"/>
          <w:bCs/>
          <w:sz w:val="24"/>
          <w:szCs w:val="24"/>
          <w:lang w:eastAsia="en-GB"/>
        </w:rPr>
        <w:t>Andrew-</w:t>
      </w:r>
      <w:r w:rsidR="00EF3E5C">
        <w:rPr>
          <w:rFonts w:ascii="Century Schoolbook" w:hAnsi="Century Schoolbook"/>
          <w:bCs/>
          <w:sz w:val="24"/>
          <w:szCs w:val="24"/>
          <w:lang w:eastAsia="en-GB"/>
        </w:rPr>
        <w:t xml:space="preserve">Tipler appeared for the successful respondent </w:t>
      </w:r>
      <w:r w:rsidR="00966A15">
        <w:rPr>
          <w:rFonts w:ascii="Century Schoolbook" w:hAnsi="Century Schoolbook"/>
          <w:bCs/>
          <w:sz w:val="24"/>
          <w:szCs w:val="24"/>
          <w:lang w:eastAsia="en-GB"/>
        </w:rPr>
        <w:t xml:space="preserve">in an expedited leapfrog appeal to the Court of Appeal: you can find his </w:t>
      </w:r>
      <w:r w:rsidR="00F809D0">
        <w:rPr>
          <w:rFonts w:ascii="Century Schoolbook" w:hAnsi="Century Schoolbook"/>
          <w:bCs/>
          <w:sz w:val="24"/>
          <w:szCs w:val="24"/>
          <w:lang w:eastAsia="en-GB"/>
        </w:rPr>
        <w:t xml:space="preserve">analysis of that </w:t>
      </w:r>
      <w:r w:rsidR="00F809D0" w:rsidRPr="00453819">
        <w:rPr>
          <w:rFonts w:ascii="Century Schoolbook" w:hAnsi="Century Schoolbook"/>
          <w:bCs/>
          <w:sz w:val="24"/>
          <w:szCs w:val="24"/>
          <w:lang w:eastAsia="en-GB"/>
        </w:rPr>
        <w:t>decision here.</w:t>
      </w:r>
      <w:r w:rsidR="00F809D0" w:rsidRPr="00453819">
        <w:rPr>
          <w:rStyle w:val="FootnoteReference"/>
          <w:rFonts w:ascii="Century Schoolbook" w:hAnsi="Century Schoolbook"/>
          <w:bCs/>
          <w:sz w:val="24"/>
          <w:szCs w:val="24"/>
          <w:lang w:eastAsia="en-GB"/>
        </w:rPr>
        <w:footnoteReference w:id="2"/>
      </w:r>
    </w:p>
    <w:p w14:paraId="3ED9C671" w14:textId="13E020C6" w:rsidR="00A43068" w:rsidRPr="00235C33" w:rsidRDefault="00A43068" w:rsidP="002943F4">
      <w:pPr>
        <w:rPr>
          <w:rFonts w:ascii="Century Schoolbook" w:hAnsi="Century Schoolbook"/>
          <w:bCs/>
          <w:lang w:eastAsia="en-GB"/>
        </w:rPr>
      </w:pPr>
      <w:r w:rsidRPr="00235C33">
        <w:rPr>
          <w:rFonts w:ascii="Century Schoolbook" w:hAnsi="Century Schoolbook"/>
          <w:bCs/>
          <w:lang w:eastAsia="en-GB"/>
        </w:rPr>
        <w:t xml:space="preserve"> </w:t>
      </w:r>
    </w:p>
    <w:p w14:paraId="4196C666" w14:textId="08DB2671" w:rsidR="007A7E6F" w:rsidRPr="00235C33" w:rsidRDefault="00944182" w:rsidP="00C95C43">
      <w:pPr>
        <w:jc w:val="center"/>
        <w:rPr>
          <w:rFonts w:ascii="Century Schoolbook" w:hAnsi="Century Schoolbook"/>
          <w:b/>
          <w:bCs/>
          <w:sz w:val="48"/>
          <w:szCs w:val="48"/>
          <w:u w:val="single"/>
          <w:lang w:eastAsia="en-GB"/>
        </w:rPr>
      </w:pPr>
      <w:r>
        <w:rPr>
          <w:rFonts w:ascii="Century Schoolbook" w:hAnsi="Century Schoolbook"/>
          <w:b/>
          <w:bCs/>
          <w:sz w:val="48"/>
          <w:szCs w:val="48"/>
          <w:u w:val="single"/>
          <w:lang w:eastAsia="en-GB"/>
        </w:rPr>
        <w:t>MAY</w:t>
      </w:r>
      <w:r w:rsidR="00AF5527">
        <w:rPr>
          <w:rFonts w:ascii="Century Schoolbook" w:hAnsi="Century Schoolbook"/>
          <w:b/>
          <w:bCs/>
          <w:sz w:val="48"/>
          <w:szCs w:val="48"/>
          <w:u w:val="single"/>
          <w:lang w:eastAsia="en-GB"/>
        </w:rPr>
        <w:t xml:space="preserve"> </w:t>
      </w:r>
      <w:r w:rsidR="007A7E6F" w:rsidRPr="00235C33">
        <w:rPr>
          <w:rFonts w:ascii="Century Schoolbook" w:hAnsi="Century Schoolbook"/>
          <w:b/>
          <w:bCs/>
          <w:sz w:val="48"/>
          <w:szCs w:val="48"/>
          <w:u w:val="single"/>
          <w:lang w:eastAsia="en-GB"/>
        </w:rPr>
        <w:t>202</w:t>
      </w:r>
      <w:r w:rsidR="00861416">
        <w:rPr>
          <w:rFonts w:ascii="Century Schoolbook" w:hAnsi="Century Schoolbook"/>
          <w:b/>
          <w:bCs/>
          <w:sz w:val="48"/>
          <w:szCs w:val="48"/>
          <w:u w:val="single"/>
          <w:lang w:eastAsia="en-GB"/>
        </w:rPr>
        <w:t>6</w:t>
      </w:r>
    </w:p>
    <w:p w14:paraId="0AE5E4B4" w14:textId="77777777" w:rsidR="007A7E6F" w:rsidRPr="00235C33" w:rsidRDefault="007A7E6F" w:rsidP="004C3CDF">
      <w:pPr>
        <w:rPr>
          <w:rFonts w:ascii="Century Schoolbook" w:eastAsia="Times New Roman" w:hAnsi="Century Schoolbook" w:cs="Arial"/>
          <w:color w:val="222222"/>
          <w:sz w:val="21"/>
          <w:szCs w:val="21"/>
          <w:lang w:eastAsia="en-GB"/>
        </w:rPr>
      </w:pPr>
    </w:p>
    <w:p w14:paraId="21AE0556" w14:textId="18CD8EB7" w:rsidR="00DA7D90" w:rsidRPr="00235C33" w:rsidRDefault="00582F4B" w:rsidP="004C3CDF">
      <w:pPr>
        <w:rPr>
          <w:rFonts w:ascii="Century Schoolbook" w:hAnsi="Century Schoolbook"/>
          <w:b/>
          <w:bCs/>
          <w:sz w:val="28"/>
          <w:szCs w:val="28"/>
          <w:lang w:eastAsia="en-GB"/>
        </w:rPr>
      </w:pPr>
      <w:r w:rsidRPr="00582F4B">
        <w:rPr>
          <w:rFonts w:ascii="Century Schoolbook" w:hAnsi="Century Schoolbook"/>
          <w:b/>
          <w:bCs/>
          <w:sz w:val="28"/>
          <w:szCs w:val="28"/>
          <w:lang w:eastAsia="en-GB"/>
        </w:rPr>
        <w:t>Zaman v Leeds City Council [2026] UKUT 180 (LC)</w:t>
      </w:r>
    </w:p>
    <w:p w14:paraId="1A9A9DDA" w14:textId="77777777" w:rsidR="00B221E6" w:rsidRPr="00235C33" w:rsidRDefault="00312479" w:rsidP="00BF4684">
      <w:pPr>
        <w:jc w:val="both"/>
        <w:rPr>
          <w:rFonts w:ascii="Century Schoolbook" w:hAnsi="Century Schoolbook"/>
          <w:b/>
          <w:i/>
          <w:sz w:val="24"/>
          <w:szCs w:val="24"/>
        </w:rPr>
      </w:pPr>
      <w:r w:rsidRPr="00235C33">
        <w:rPr>
          <w:rFonts w:ascii="Century Schoolbook" w:hAnsi="Century Schoolbook"/>
          <w:b/>
          <w:i/>
          <w:sz w:val="24"/>
          <w:szCs w:val="24"/>
        </w:rPr>
        <w:t>Summary</w:t>
      </w:r>
    </w:p>
    <w:p w14:paraId="7E775B87" w14:textId="198CF159" w:rsidR="00927D94" w:rsidRPr="00927D94" w:rsidRDefault="00927D94" w:rsidP="00927D94">
      <w:pPr>
        <w:jc w:val="both"/>
        <w:rPr>
          <w:rFonts w:ascii="Century Schoolbook" w:hAnsi="Century Schoolbook"/>
          <w:sz w:val="24"/>
          <w:szCs w:val="24"/>
        </w:rPr>
      </w:pPr>
      <w:r w:rsidRPr="00927D94">
        <w:rPr>
          <w:rFonts w:ascii="Century Schoolbook" w:hAnsi="Century Schoolbook"/>
          <w:sz w:val="24"/>
          <w:szCs w:val="24"/>
        </w:rPr>
        <w:t>The Upper Tribunal dismissed an appeal against financial penalties under the Housing Act 2004 for failure to comply with selective licensing requirements.</w:t>
      </w:r>
    </w:p>
    <w:p w14:paraId="43FF4899" w14:textId="1D6B649B" w:rsidR="00927D94" w:rsidRPr="00927D94" w:rsidRDefault="00927D94" w:rsidP="00927D94">
      <w:pPr>
        <w:jc w:val="both"/>
        <w:rPr>
          <w:rFonts w:ascii="Century Schoolbook" w:hAnsi="Century Schoolbook"/>
          <w:sz w:val="24"/>
          <w:szCs w:val="24"/>
        </w:rPr>
      </w:pPr>
      <w:r w:rsidRPr="00927D94">
        <w:rPr>
          <w:rFonts w:ascii="Century Schoolbook" w:hAnsi="Century Schoolbook"/>
          <w:sz w:val="24"/>
          <w:szCs w:val="24"/>
        </w:rPr>
        <w:t xml:space="preserve">The premises in question were an end-of-terrace house, converted into 4 self-contained residential units. The area was subject to selective licensing under Part 3 of the Housing Act 2004, but the appellant had failed to obtain a licence when required to do so. The local authority issued 4 penalty notices under s.95, i.e. one for each unit. The appellant appealed, arguing that (a) the whole building was an HMO for the purposes of Part 2 of the Act, and therefore exempt from the Part 3 licensing regime, or (b) if the Part 3 regime did apply, there was only one </w:t>
      </w:r>
      <w:r w:rsidR="00195288">
        <w:rPr>
          <w:rFonts w:ascii="Century Schoolbook" w:hAnsi="Century Schoolbook"/>
          <w:sz w:val="24"/>
          <w:szCs w:val="24"/>
        </w:rPr>
        <w:t>house</w:t>
      </w:r>
      <w:r w:rsidRPr="00927D94">
        <w:rPr>
          <w:rFonts w:ascii="Century Schoolbook" w:hAnsi="Century Schoolbook"/>
          <w:sz w:val="24"/>
          <w:szCs w:val="24"/>
        </w:rPr>
        <w:t xml:space="preserve"> requiring a licence, so there should have been one penalty, not four.</w:t>
      </w:r>
    </w:p>
    <w:p w14:paraId="7C6A7CBE" w14:textId="3390E77B" w:rsidR="00860887" w:rsidRPr="00235C33" w:rsidRDefault="00927D94" w:rsidP="00927D94">
      <w:pPr>
        <w:jc w:val="both"/>
        <w:rPr>
          <w:rFonts w:ascii="Century Schoolbook" w:hAnsi="Century Schoolbook"/>
          <w:sz w:val="24"/>
          <w:szCs w:val="24"/>
        </w:rPr>
      </w:pPr>
      <w:r w:rsidRPr="00927D94">
        <w:rPr>
          <w:rFonts w:ascii="Century Schoolbook" w:hAnsi="Century Schoolbook"/>
          <w:sz w:val="24"/>
          <w:szCs w:val="24"/>
        </w:rPr>
        <w:t>The Upper Tribunal dismissed the appeal, finding that the fact that the whole building was an HMO within the Part 2 provisions did not prevent each unit being a ‘house’ for the purposes of Part 3 licensing.</w:t>
      </w:r>
    </w:p>
    <w:p w14:paraId="28D444F0" w14:textId="204B1ED3" w:rsidR="00B221E6" w:rsidRPr="00235C33" w:rsidRDefault="00312479" w:rsidP="00BF4684">
      <w:pPr>
        <w:jc w:val="both"/>
        <w:rPr>
          <w:rFonts w:ascii="Century Schoolbook" w:hAnsi="Century Schoolbook"/>
          <w:b/>
          <w:i/>
          <w:sz w:val="24"/>
          <w:szCs w:val="24"/>
        </w:rPr>
      </w:pPr>
      <w:r w:rsidRPr="00235C33">
        <w:rPr>
          <w:rFonts w:ascii="Century Schoolbook" w:hAnsi="Century Schoolbook"/>
          <w:b/>
          <w:i/>
          <w:sz w:val="24"/>
          <w:szCs w:val="24"/>
        </w:rPr>
        <w:t>Why it’s important</w:t>
      </w:r>
      <w:r w:rsidR="00B221E6" w:rsidRPr="00235C33">
        <w:rPr>
          <w:rFonts w:ascii="Century Schoolbook" w:hAnsi="Century Schoolbook"/>
          <w:b/>
          <w:i/>
          <w:sz w:val="24"/>
          <w:szCs w:val="24"/>
        </w:rPr>
        <w:t xml:space="preserve"> </w:t>
      </w:r>
    </w:p>
    <w:p w14:paraId="3A26BDC7" w14:textId="48656437" w:rsidR="00274FE5" w:rsidRPr="00235C33" w:rsidRDefault="00D77700" w:rsidP="00BF4684">
      <w:pPr>
        <w:jc w:val="both"/>
        <w:rPr>
          <w:rFonts w:ascii="Century Schoolbook" w:hAnsi="Century Schoolbook"/>
          <w:sz w:val="24"/>
          <w:szCs w:val="24"/>
        </w:rPr>
      </w:pPr>
      <w:r w:rsidRPr="00D77700">
        <w:rPr>
          <w:rFonts w:ascii="Century Schoolbook" w:hAnsi="Century Schoolbook"/>
          <w:sz w:val="24"/>
          <w:szCs w:val="24"/>
        </w:rPr>
        <w:t xml:space="preserve">The licensing requirements for landlords can vary significantly from area to area, and the statutory provisions under both Part 2 and Part 3 of the Act are complex. </w:t>
      </w:r>
      <w:r w:rsidRPr="00D77700">
        <w:rPr>
          <w:rFonts w:ascii="Century Schoolbook" w:hAnsi="Century Schoolbook"/>
          <w:sz w:val="24"/>
          <w:szCs w:val="24"/>
        </w:rPr>
        <w:lastRenderedPageBreak/>
        <w:t xml:space="preserve">This judgment provides a useful explanation of the interplay between the </w:t>
      </w:r>
      <w:proofErr w:type="gramStart"/>
      <w:r w:rsidRPr="00D77700">
        <w:rPr>
          <w:rFonts w:ascii="Century Schoolbook" w:hAnsi="Century Schoolbook"/>
          <w:sz w:val="24"/>
          <w:szCs w:val="24"/>
        </w:rPr>
        <w:t>two, and</w:t>
      </w:r>
      <w:proofErr w:type="gramEnd"/>
      <w:r w:rsidRPr="00D77700">
        <w:rPr>
          <w:rFonts w:ascii="Century Schoolbook" w:hAnsi="Century Schoolbook"/>
          <w:sz w:val="24"/>
          <w:szCs w:val="24"/>
        </w:rPr>
        <w:t xml:space="preserve"> reinforces that it should not be assume</w:t>
      </w:r>
      <w:r w:rsidR="00FD1FC7">
        <w:rPr>
          <w:rFonts w:ascii="Century Schoolbook" w:hAnsi="Century Schoolbook"/>
          <w:sz w:val="24"/>
          <w:szCs w:val="24"/>
        </w:rPr>
        <w:t>d</w:t>
      </w:r>
      <w:r w:rsidRPr="00D77700">
        <w:rPr>
          <w:rFonts w:ascii="Century Schoolbook" w:hAnsi="Century Schoolbook"/>
          <w:sz w:val="24"/>
          <w:szCs w:val="24"/>
        </w:rPr>
        <w:t xml:space="preserve"> that because a building, or part it, fits the definitions in one part of the statute does not mean that </w:t>
      </w:r>
      <w:r w:rsidR="007C0BAD">
        <w:rPr>
          <w:rFonts w:ascii="Century Schoolbook" w:hAnsi="Century Schoolbook"/>
          <w:sz w:val="24"/>
          <w:szCs w:val="24"/>
        </w:rPr>
        <w:t>the possibility that other licences are necessary can be ignored</w:t>
      </w:r>
      <w:r w:rsidRPr="00D77700">
        <w:rPr>
          <w:rFonts w:ascii="Century Schoolbook" w:hAnsi="Century Schoolbook"/>
          <w:sz w:val="24"/>
          <w:szCs w:val="24"/>
        </w:rPr>
        <w:t>.</w:t>
      </w:r>
    </w:p>
    <w:p w14:paraId="12D4791F" w14:textId="56E2E7D1" w:rsidR="00274FE5" w:rsidRPr="00235C33" w:rsidRDefault="00A717D5" w:rsidP="004C3CDF">
      <w:pPr>
        <w:rPr>
          <w:rFonts w:ascii="Century Schoolbook" w:hAnsi="Century Schoolbook"/>
          <w:sz w:val="24"/>
          <w:szCs w:val="24"/>
        </w:rPr>
      </w:pPr>
      <w:r w:rsidRPr="00235C33">
        <w:rPr>
          <w:rFonts w:ascii="Century Schoolbook" w:hAnsi="Century Schoolbook"/>
          <w:sz w:val="24"/>
          <w:szCs w:val="24"/>
        </w:rPr>
        <w:t>----------------------------------------------------------------------------------------------------------------</w:t>
      </w:r>
    </w:p>
    <w:p w14:paraId="37924788" w14:textId="77777777" w:rsidR="00C95C43" w:rsidRPr="00235C33" w:rsidRDefault="00C95C43" w:rsidP="004C3CDF">
      <w:pPr>
        <w:rPr>
          <w:rFonts w:ascii="Century Schoolbook" w:hAnsi="Century Schoolbook"/>
          <w:b/>
          <w:bCs/>
          <w:sz w:val="24"/>
          <w:szCs w:val="24"/>
        </w:rPr>
      </w:pPr>
    </w:p>
    <w:p w14:paraId="5C514DC1" w14:textId="270A3AF5" w:rsidR="00312479" w:rsidRPr="00B043BE" w:rsidRDefault="00582F4B" w:rsidP="004C3CDF">
      <w:pPr>
        <w:rPr>
          <w:rFonts w:ascii="Century Schoolbook" w:eastAsia="Times New Roman" w:hAnsi="Century Schoolbook" w:cs="Arial"/>
          <w:b/>
          <w:bCs/>
          <w:color w:val="222222"/>
          <w:sz w:val="28"/>
          <w:szCs w:val="28"/>
          <w:lang w:eastAsia="en-GB"/>
        </w:rPr>
      </w:pPr>
      <w:proofErr w:type="spellStart"/>
      <w:r w:rsidRPr="00582F4B">
        <w:rPr>
          <w:rFonts w:ascii="Century Schoolbook" w:hAnsi="Century Schoolbook"/>
          <w:b/>
          <w:bCs/>
          <w:sz w:val="28"/>
          <w:szCs w:val="28"/>
        </w:rPr>
        <w:t>Roxlena</w:t>
      </w:r>
      <w:proofErr w:type="spellEnd"/>
      <w:r w:rsidRPr="00582F4B">
        <w:rPr>
          <w:rFonts w:ascii="Century Schoolbook" w:hAnsi="Century Schoolbook"/>
          <w:b/>
          <w:bCs/>
          <w:sz w:val="28"/>
          <w:szCs w:val="28"/>
        </w:rPr>
        <w:t xml:space="preserve"> Ltd v The Ramblers' Association &amp; Ors, R (On the Application Of) [2026] EWCA </w:t>
      </w:r>
      <w:proofErr w:type="spellStart"/>
      <w:r w:rsidRPr="00582F4B">
        <w:rPr>
          <w:rFonts w:ascii="Century Schoolbook" w:hAnsi="Century Schoolbook"/>
          <w:b/>
          <w:bCs/>
          <w:sz w:val="28"/>
          <w:szCs w:val="28"/>
        </w:rPr>
        <w:t>Civ</w:t>
      </w:r>
      <w:proofErr w:type="spellEnd"/>
      <w:r w:rsidRPr="00582F4B">
        <w:rPr>
          <w:rFonts w:ascii="Century Schoolbook" w:hAnsi="Century Schoolbook"/>
          <w:b/>
          <w:bCs/>
          <w:sz w:val="28"/>
          <w:szCs w:val="28"/>
        </w:rPr>
        <w:t xml:space="preserve"> 534</w:t>
      </w:r>
    </w:p>
    <w:p w14:paraId="0B8C2AB8" w14:textId="77777777" w:rsidR="00351091" w:rsidRPr="00235C33" w:rsidRDefault="00312479" w:rsidP="00BF4684">
      <w:pPr>
        <w:jc w:val="both"/>
        <w:rPr>
          <w:rFonts w:ascii="Century Schoolbook" w:hAnsi="Century Schoolbook"/>
          <w:b/>
          <w:i/>
          <w:sz w:val="24"/>
          <w:szCs w:val="24"/>
        </w:rPr>
      </w:pPr>
      <w:r w:rsidRPr="00235C33">
        <w:rPr>
          <w:rFonts w:ascii="Century Schoolbook" w:hAnsi="Century Schoolbook"/>
          <w:b/>
          <w:i/>
          <w:sz w:val="24"/>
          <w:szCs w:val="24"/>
        </w:rPr>
        <w:t>Summary</w:t>
      </w:r>
    </w:p>
    <w:p w14:paraId="672F4660" w14:textId="6B91DBA7" w:rsidR="00CA012F" w:rsidRPr="00CA012F" w:rsidRDefault="00CA012F" w:rsidP="00CA012F">
      <w:pPr>
        <w:jc w:val="both"/>
        <w:rPr>
          <w:rFonts w:ascii="Century Schoolbook" w:hAnsi="Century Schoolbook"/>
          <w:sz w:val="24"/>
          <w:szCs w:val="24"/>
        </w:rPr>
      </w:pPr>
      <w:r w:rsidRPr="00CA012F">
        <w:rPr>
          <w:rFonts w:ascii="Century Schoolbook" w:hAnsi="Century Schoolbook"/>
          <w:sz w:val="24"/>
          <w:szCs w:val="24"/>
        </w:rPr>
        <w:t>The Court of Appeal considered the meaning of the phrase “actually enjoyed by the public as of right and without interruption for a full period of 20 years" in s.31 Highways Act 1981, which provides that where a way has been so used by the public, it is presumed to be dedicated as a highway.</w:t>
      </w:r>
    </w:p>
    <w:p w14:paraId="1BABBE59" w14:textId="77777777" w:rsidR="00CA012F" w:rsidRPr="00CA012F" w:rsidRDefault="00CA012F" w:rsidP="00CA012F">
      <w:pPr>
        <w:jc w:val="both"/>
        <w:rPr>
          <w:rFonts w:ascii="Century Schoolbook" w:hAnsi="Century Schoolbook"/>
          <w:sz w:val="24"/>
          <w:szCs w:val="24"/>
        </w:rPr>
      </w:pPr>
      <w:r w:rsidRPr="00CA012F">
        <w:rPr>
          <w:rFonts w:ascii="Century Schoolbook" w:hAnsi="Century Schoolbook"/>
          <w:sz w:val="24"/>
          <w:szCs w:val="24"/>
        </w:rPr>
        <w:t xml:space="preserve">A council produced a definitive map in exercise of its powers under the Wildlife and Countryside Act 1981, which included </w:t>
      </w:r>
      <w:proofErr w:type="gramStart"/>
      <w:r w:rsidRPr="00CA012F">
        <w:rPr>
          <w:rFonts w:ascii="Century Schoolbook" w:hAnsi="Century Schoolbook"/>
          <w:sz w:val="24"/>
          <w:szCs w:val="24"/>
        </w:rPr>
        <w:t>a number of</w:t>
      </w:r>
      <w:proofErr w:type="gramEnd"/>
      <w:r w:rsidRPr="00CA012F">
        <w:rPr>
          <w:rFonts w:ascii="Century Schoolbook" w:hAnsi="Century Schoolbook"/>
          <w:sz w:val="24"/>
          <w:szCs w:val="24"/>
        </w:rPr>
        <w:t xml:space="preserve"> new footpaths and bridleways over the appellant’s land. The appellant objected to the inclusion of those paths, causing an inquiry to be held. </w:t>
      </w:r>
    </w:p>
    <w:p w14:paraId="26B21E45" w14:textId="77777777" w:rsidR="00CA012F" w:rsidRPr="00CA012F" w:rsidRDefault="00CA012F" w:rsidP="00CA012F">
      <w:pPr>
        <w:jc w:val="both"/>
        <w:rPr>
          <w:rFonts w:ascii="Century Schoolbook" w:hAnsi="Century Schoolbook"/>
          <w:sz w:val="24"/>
          <w:szCs w:val="24"/>
        </w:rPr>
      </w:pPr>
      <w:r w:rsidRPr="00CA012F">
        <w:rPr>
          <w:rFonts w:ascii="Century Schoolbook" w:hAnsi="Century Schoolbook"/>
          <w:sz w:val="24"/>
          <w:szCs w:val="24"/>
        </w:rPr>
        <w:t xml:space="preserve">At the inquiry, the inspector concluded that there had been </w:t>
      </w:r>
      <w:proofErr w:type="gramStart"/>
      <w:r w:rsidRPr="00CA012F">
        <w:rPr>
          <w:rFonts w:ascii="Century Schoolbook" w:hAnsi="Century Schoolbook"/>
          <w:sz w:val="24"/>
          <w:szCs w:val="24"/>
        </w:rPr>
        <w:t>an</w:t>
      </w:r>
      <w:proofErr w:type="gramEnd"/>
      <w:r w:rsidRPr="00CA012F">
        <w:rPr>
          <w:rFonts w:ascii="Century Schoolbook" w:hAnsi="Century Schoolbook"/>
          <w:sz w:val="24"/>
          <w:szCs w:val="24"/>
        </w:rPr>
        <w:t xml:space="preserve"> 4-month intermission in use during an outbreak of foot and mouth disease, the effect of which was that the requisite period of actual enjoyment could not be made out. </w:t>
      </w:r>
    </w:p>
    <w:p w14:paraId="1A4010EA" w14:textId="77777777" w:rsidR="00CA012F" w:rsidRPr="00CA012F" w:rsidRDefault="00CA012F" w:rsidP="00CA012F">
      <w:pPr>
        <w:jc w:val="both"/>
        <w:rPr>
          <w:rFonts w:ascii="Century Schoolbook" w:hAnsi="Century Schoolbook"/>
          <w:sz w:val="24"/>
          <w:szCs w:val="24"/>
        </w:rPr>
      </w:pPr>
      <w:r w:rsidRPr="00CA012F">
        <w:rPr>
          <w:rFonts w:ascii="Century Schoolbook" w:hAnsi="Century Schoolbook"/>
          <w:sz w:val="24"/>
          <w:szCs w:val="24"/>
        </w:rPr>
        <w:t xml:space="preserve">The inspector’s decision was successfully challenged by the Ramblers Association by way of judicial review. The appellant brought an appeal to the Court of Appeal. </w:t>
      </w:r>
    </w:p>
    <w:p w14:paraId="05AC17E6" w14:textId="26D59E4D" w:rsidR="00312479" w:rsidRPr="00235C33" w:rsidRDefault="00CA012F" w:rsidP="00CA012F">
      <w:pPr>
        <w:jc w:val="both"/>
        <w:rPr>
          <w:rFonts w:ascii="Century Schoolbook" w:hAnsi="Century Schoolbook"/>
          <w:sz w:val="24"/>
          <w:szCs w:val="24"/>
        </w:rPr>
      </w:pPr>
      <w:r w:rsidRPr="00CA012F">
        <w:rPr>
          <w:rFonts w:ascii="Century Schoolbook" w:hAnsi="Century Schoolbook"/>
          <w:sz w:val="24"/>
          <w:szCs w:val="24"/>
        </w:rPr>
        <w:t>The Court of Appeal dismissed the appeal. The inspector had failed to have regard to fact that public use had resumed following the outbreak, which was an error of law.</w:t>
      </w:r>
    </w:p>
    <w:p w14:paraId="671518D0" w14:textId="77777777" w:rsidR="00351091" w:rsidRPr="00235C33" w:rsidRDefault="000C394B" w:rsidP="00BF4684">
      <w:pPr>
        <w:jc w:val="both"/>
        <w:rPr>
          <w:rFonts w:ascii="Century Schoolbook" w:hAnsi="Century Schoolbook"/>
          <w:b/>
          <w:i/>
          <w:sz w:val="24"/>
          <w:szCs w:val="24"/>
        </w:rPr>
      </w:pPr>
      <w:r w:rsidRPr="00235C33">
        <w:rPr>
          <w:rFonts w:ascii="Century Schoolbook" w:hAnsi="Century Schoolbook"/>
          <w:b/>
          <w:i/>
          <w:sz w:val="24"/>
          <w:szCs w:val="24"/>
        </w:rPr>
        <w:t>Why it’s important</w:t>
      </w:r>
    </w:p>
    <w:p w14:paraId="33C0FE0E" w14:textId="6AC9133B" w:rsidR="00522F62" w:rsidRPr="00522F62" w:rsidRDefault="00522F62" w:rsidP="00522F62">
      <w:pPr>
        <w:jc w:val="both"/>
        <w:rPr>
          <w:rFonts w:ascii="Century Schoolbook" w:hAnsi="Century Schoolbook"/>
          <w:sz w:val="24"/>
          <w:szCs w:val="24"/>
        </w:rPr>
      </w:pPr>
      <w:r w:rsidRPr="00522F62">
        <w:rPr>
          <w:rFonts w:ascii="Century Schoolbook" w:hAnsi="Century Schoolbook"/>
          <w:sz w:val="24"/>
          <w:szCs w:val="24"/>
        </w:rPr>
        <w:t xml:space="preserve">This case clarifies the distinction between an ‘intermission’ in prescriptive use, which is a break in the continuity of use such as in this case, and an ‘interruption’, which requires some form of obstruction or overt act. </w:t>
      </w:r>
    </w:p>
    <w:p w14:paraId="356FEC61" w14:textId="1984861E" w:rsidR="000C394B" w:rsidRPr="00235C33" w:rsidRDefault="00522F62" w:rsidP="00522F62">
      <w:pPr>
        <w:jc w:val="both"/>
        <w:rPr>
          <w:rFonts w:ascii="Century Schoolbook" w:hAnsi="Century Schoolbook"/>
          <w:sz w:val="24"/>
          <w:szCs w:val="24"/>
        </w:rPr>
      </w:pPr>
      <w:r w:rsidRPr="00522F62">
        <w:rPr>
          <w:rFonts w:ascii="Century Schoolbook" w:hAnsi="Century Schoolbook"/>
          <w:sz w:val="24"/>
          <w:szCs w:val="24"/>
        </w:rPr>
        <w:t>Although the specific statutory context of this decision is highways legislation, the Court of Appeal’s analysis of the relevant doctrines (which includes a useful, authoritative summary of the law) is likely to be of relevance to practitioners dealing with prescriptive periods in other contexts, such as prescriptive easements or town and village greens.</w:t>
      </w:r>
    </w:p>
    <w:p w14:paraId="509AE2A1" w14:textId="10976842" w:rsidR="00351091" w:rsidRPr="00235C33" w:rsidRDefault="00351091" w:rsidP="00BF4684">
      <w:pPr>
        <w:jc w:val="both"/>
        <w:rPr>
          <w:rFonts w:ascii="Century Schoolbook" w:hAnsi="Century Schoolbook"/>
          <w:sz w:val="24"/>
          <w:szCs w:val="24"/>
        </w:rPr>
      </w:pPr>
      <w:r w:rsidRPr="00235C33">
        <w:rPr>
          <w:rFonts w:ascii="Century Schoolbook" w:hAnsi="Century Schoolbook"/>
          <w:sz w:val="24"/>
          <w:szCs w:val="24"/>
        </w:rPr>
        <w:t>----------------------------------------------------------------------------------------------------------------</w:t>
      </w:r>
    </w:p>
    <w:p w14:paraId="3EBE6758" w14:textId="3800B3D2" w:rsidR="00CE173B" w:rsidRPr="00B043BE" w:rsidRDefault="00733EAD" w:rsidP="004C3CDF">
      <w:pPr>
        <w:rPr>
          <w:rFonts w:ascii="Century Schoolbook" w:hAnsi="Century Schoolbook"/>
          <w:b/>
          <w:bCs/>
          <w:color w:val="212121"/>
          <w:sz w:val="28"/>
          <w:szCs w:val="28"/>
          <w:shd w:val="clear" w:color="auto" w:fill="FFFFFF"/>
        </w:rPr>
      </w:pPr>
      <w:proofErr w:type="spellStart"/>
      <w:r w:rsidRPr="00733EAD">
        <w:rPr>
          <w:rFonts w:ascii="Century Schoolbook" w:hAnsi="Century Schoolbook"/>
          <w:b/>
          <w:bCs/>
          <w:sz w:val="28"/>
          <w:szCs w:val="28"/>
        </w:rPr>
        <w:lastRenderedPageBreak/>
        <w:t>Bennets</w:t>
      </w:r>
      <w:proofErr w:type="spellEnd"/>
      <w:r w:rsidRPr="00733EAD">
        <w:rPr>
          <w:rFonts w:ascii="Century Schoolbook" w:hAnsi="Century Schoolbook"/>
          <w:b/>
          <w:bCs/>
          <w:sz w:val="28"/>
          <w:szCs w:val="28"/>
        </w:rPr>
        <w:t xml:space="preserve"> Courtyard Ltd v </w:t>
      </w:r>
      <w:proofErr w:type="spellStart"/>
      <w:r w:rsidRPr="00733EAD">
        <w:rPr>
          <w:rFonts w:ascii="Century Schoolbook" w:hAnsi="Century Schoolbook"/>
          <w:b/>
          <w:bCs/>
          <w:sz w:val="28"/>
          <w:szCs w:val="28"/>
        </w:rPr>
        <w:t>Bennets</w:t>
      </w:r>
      <w:proofErr w:type="spellEnd"/>
      <w:r w:rsidRPr="00733EAD">
        <w:rPr>
          <w:rFonts w:ascii="Century Schoolbook" w:hAnsi="Century Schoolbook"/>
          <w:b/>
          <w:bCs/>
          <w:sz w:val="28"/>
          <w:szCs w:val="28"/>
        </w:rPr>
        <w:t xml:space="preserve"> Courtyard Airspace Ltd [2026] EWHC 1119 (Ch)</w:t>
      </w:r>
    </w:p>
    <w:p w14:paraId="237415B1" w14:textId="77777777" w:rsidR="00B043BE" w:rsidRDefault="00F022FE" w:rsidP="00BF4684">
      <w:pPr>
        <w:jc w:val="both"/>
        <w:rPr>
          <w:rFonts w:ascii="Century Schoolbook" w:hAnsi="Century Schoolbook"/>
          <w:b/>
          <w:i/>
          <w:color w:val="212121"/>
          <w:sz w:val="24"/>
          <w:szCs w:val="24"/>
          <w:shd w:val="clear" w:color="auto" w:fill="FFFFFF"/>
        </w:rPr>
      </w:pPr>
      <w:r w:rsidRPr="00B043BE">
        <w:rPr>
          <w:rFonts w:ascii="Century Schoolbook" w:hAnsi="Century Schoolbook"/>
          <w:b/>
          <w:i/>
          <w:color w:val="212121"/>
          <w:sz w:val="24"/>
          <w:szCs w:val="24"/>
          <w:shd w:val="clear" w:color="auto" w:fill="FFFFFF"/>
        </w:rPr>
        <w:t>Summary</w:t>
      </w:r>
    </w:p>
    <w:p w14:paraId="351EE0B4" w14:textId="1BC32BED" w:rsidR="00A921A8" w:rsidRPr="00A921A8" w:rsidRDefault="00A921A8" w:rsidP="00A921A8">
      <w:pPr>
        <w:jc w:val="both"/>
        <w:rPr>
          <w:rFonts w:ascii="Century Schoolbook" w:hAnsi="Century Schoolbook"/>
          <w:color w:val="212121"/>
          <w:sz w:val="24"/>
          <w:szCs w:val="24"/>
          <w:shd w:val="clear" w:color="auto" w:fill="FFFFFF"/>
        </w:rPr>
      </w:pPr>
      <w:r w:rsidRPr="00A921A8">
        <w:rPr>
          <w:rFonts w:ascii="Century Schoolbook" w:hAnsi="Century Schoolbook"/>
          <w:color w:val="212121"/>
          <w:sz w:val="24"/>
          <w:szCs w:val="24"/>
          <w:shd w:val="clear" w:color="auto" w:fill="FFFFFF"/>
        </w:rPr>
        <w:t>The High Court considered the meaning of the words "the person who owns the freehold of those premises" in the context of a claim for collective enfranchisement.</w:t>
      </w:r>
    </w:p>
    <w:p w14:paraId="7C9F1900" w14:textId="77777777" w:rsidR="00A921A8" w:rsidRPr="00A921A8" w:rsidRDefault="00A921A8" w:rsidP="00A921A8">
      <w:pPr>
        <w:jc w:val="both"/>
        <w:rPr>
          <w:rFonts w:ascii="Century Schoolbook" w:hAnsi="Century Schoolbook"/>
          <w:color w:val="212121"/>
          <w:sz w:val="24"/>
          <w:szCs w:val="24"/>
          <w:shd w:val="clear" w:color="auto" w:fill="FFFFFF"/>
        </w:rPr>
      </w:pPr>
      <w:r w:rsidRPr="00A921A8">
        <w:rPr>
          <w:rFonts w:ascii="Century Schoolbook" w:hAnsi="Century Schoolbook"/>
          <w:color w:val="212121"/>
          <w:sz w:val="24"/>
          <w:szCs w:val="24"/>
          <w:shd w:val="clear" w:color="auto" w:fill="FFFFFF"/>
        </w:rPr>
        <w:t>The freehold of the premises in question had been sold, but the transfer had not yet been completed by registration at the time when an initial notice under s.13 Leasehold Reform Housing and Urban Development Act 1993 was given (although an application had been made and was eventually completed). The notice was given only to the transferee (the equitable owner), not to the transferor (the legal owner).</w:t>
      </w:r>
    </w:p>
    <w:p w14:paraId="5EA0F004" w14:textId="7E8F1D5E" w:rsidR="00CE173B" w:rsidRPr="00B043BE" w:rsidRDefault="00A921A8" w:rsidP="00A921A8">
      <w:pPr>
        <w:jc w:val="both"/>
        <w:rPr>
          <w:rFonts w:ascii="Century Schoolbook" w:hAnsi="Century Schoolbook"/>
          <w:color w:val="212121"/>
          <w:sz w:val="24"/>
          <w:szCs w:val="24"/>
          <w:shd w:val="clear" w:color="auto" w:fill="FFFFFF"/>
        </w:rPr>
      </w:pPr>
      <w:r w:rsidRPr="00A921A8">
        <w:rPr>
          <w:rFonts w:ascii="Century Schoolbook" w:hAnsi="Century Schoolbook"/>
          <w:color w:val="212121"/>
          <w:sz w:val="24"/>
          <w:szCs w:val="24"/>
          <w:shd w:val="clear" w:color="auto" w:fill="FFFFFF"/>
        </w:rPr>
        <w:t>At first instance, the judge determined that the notice had not been given to the reversioner as required. That conclusion has now been upheld on appeal.</w:t>
      </w:r>
    </w:p>
    <w:p w14:paraId="2EE75456" w14:textId="77777777" w:rsidR="00B043BE" w:rsidRDefault="00F022FE" w:rsidP="00BF4684">
      <w:pPr>
        <w:jc w:val="both"/>
        <w:rPr>
          <w:rFonts w:ascii="Century Schoolbook" w:hAnsi="Century Schoolbook"/>
          <w:b/>
          <w:i/>
          <w:color w:val="212121"/>
          <w:sz w:val="24"/>
          <w:szCs w:val="24"/>
          <w:shd w:val="clear" w:color="auto" w:fill="FFFFFF"/>
        </w:rPr>
      </w:pPr>
      <w:r w:rsidRPr="00B043BE">
        <w:rPr>
          <w:rFonts w:ascii="Century Schoolbook" w:hAnsi="Century Schoolbook"/>
          <w:b/>
          <w:i/>
          <w:color w:val="212121"/>
          <w:sz w:val="24"/>
          <w:szCs w:val="24"/>
          <w:shd w:val="clear" w:color="auto" w:fill="FFFFFF"/>
        </w:rPr>
        <w:t>Why it’s important</w:t>
      </w:r>
    </w:p>
    <w:p w14:paraId="36D9B166" w14:textId="3704D1C6" w:rsidR="00F022FE" w:rsidRDefault="009D7057" w:rsidP="00BF4684">
      <w:pPr>
        <w:jc w:val="both"/>
        <w:rPr>
          <w:rFonts w:ascii="Century Schoolbook" w:hAnsi="Century Schoolbook"/>
          <w:color w:val="212121"/>
          <w:sz w:val="24"/>
          <w:szCs w:val="24"/>
          <w:shd w:val="clear" w:color="auto" w:fill="FFFFFF"/>
        </w:rPr>
      </w:pPr>
      <w:r w:rsidRPr="009D7057">
        <w:rPr>
          <w:rFonts w:ascii="Century Schoolbook" w:hAnsi="Century Schoolbook"/>
          <w:color w:val="212121"/>
          <w:sz w:val="24"/>
          <w:szCs w:val="24"/>
          <w:shd w:val="clear" w:color="auto" w:fill="FFFFFF"/>
        </w:rPr>
        <w:t xml:space="preserve">The question of whether an initial notice under the 1993 Act should be given to the transferor or the transferee during the registration gap was, until this decision, free from authority. The conclusion that it is the </w:t>
      </w:r>
      <w:proofErr w:type="gramStart"/>
      <w:r w:rsidRPr="009D7057">
        <w:rPr>
          <w:rFonts w:ascii="Century Schoolbook" w:hAnsi="Century Schoolbook"/>
          <w:color w:val="212121"/>
          <w:sz w:val="24"/>
          <w:szCs w:val="24"/>
          <w:shd w:val="clear" w:color="auto" w:fill="FFFFFF"/>
        </w:rPr>
        <w:t>easily-identified</w:t>
      </w:r>
      <w:proofErr w:type="gramEnd"/>
      <w:r w:rsidRPr="009D7057">
        <w:rPr>
          <w:rFonts w:ascii="Century Schoolbook" w:hAnsi="Century Schoolbook"/>
          <w:color w:val="212121"/>
          <w:sz w:val="24"/>
          <w:szCs w:val="24"/>
          <w:shd w:val="clear" w:color="auto" w:fill="FFFFFF"/>
        </w:rPr>
        <w:t xml:space="preserve"> registered owner who needs to be served, </w:t>
      </w:r>
      <w:proofErr w:type="gramStart"/>
      <w:r w:rsidRPr="009D7057">
        <w:rPr>
          <w:rFonts w:ascii="Century Schoolbook" w:hAnsi="Century Schoolbook"/>
          <w:color w:val="212121"/>
          <w:sz w:val="24"/>
          <w:szCs w:val="24"/>
          <w:shd w:val="clear" w:color="auto" w:fill="FFFFFF"/>
        </w:rPr>
        <w:t>whether or not</w:t>
      </w:r>
      <w:proofErr w:type="gramEnd"/>
      <w:r w:rsidRPr="009D7057">
        <w:rPr>
          <w:rFonts w:ascii="Century Schoolbook" w:hAnsi="Century Schoolbook"/>
          <w:color w:val="212121"/>
          <w:sz w:val="24"/>
          <w:szCs w:val="24"/>
          <w:shd w:val="clear" w:color="auto" w:fill="FFFFFF"/>
        </w:rPr>
        <w:t xml:space="preserve"> any application is pending, brings helpful clarity for practitioners.</w:t>
      </w:r>
    </w:p>
    <w:p w14:paraId="6ECF3A95" w14:textId="77777777" w:rsidR="00723225" w:rsidRDefault="00723225" w:rsidP="00BF4684">
      <w:pPr>
        <w:jc w:val="both"/>
        <w:rPr>
          <w:rFonts w:ascii="Century Schoolbook" w:hAnsi="Century Schoolbook"/>
          <w:color w:val="212121"/>
          <w:sz w:val="24"/>
          <w:szCs w:val="24"/>
          <w:shd w:val="clear" w:color="auto" w:fill="FFFFFF"/>
        </w:rPr>
      </w:pPr>
    </w:p>
    <w:p w14:paraId="38EDD5E6" w14:textId="158E0121" w:rsidR="00A64A6F" w:rsidRDefault="00515BC4" w:rsidP="00723225">
      <w:pPr>
        <w:ind w:left="4320" w:firstLine="720"/>
        <w:jc w:val="both"/>
        <w:rPr>
          <w:rFonts w:ascii="Century Schoolbook" w:hAnsi="Century Schoolbook"/>
          <w:color w:val="212121"/>
          <w:sz w:val="24"/>
          <w:szCs w:val="24"/>
          <w:shd w:val="clear" w:color="auto" w:fill="FFFFFF"/>
        </w:rPr>
      </w:pPr>
      <w:r>
        <w:rPr>
          <w:rFonts w:ascii="Century Schoolbook" w:hAnsi="Century Schoolbook"/>
          <w:color w:val="212121"/>
          <w:sz w:val="24"/>
          <w:szCs w:val="24"/>
          <w:shd w:val="clear" w:color="auto" w:fill="FFFFFF"/>
        </w:rPr>
        <w:t>CATHERINE TASKIS</w:t>
      </w:r>
      <w:r w:rsidR="00A64A6F">
        <w:rPr>
          <w:rFonts w:ascii="Century Schoolbook" w:hAnsi="Century Schoolbook"/>
          <w:color w:val="212121"/>
          <w:sz w:val="24"/>
          <w:szCs w:val="24"/>
          <w:shd w:val="clear" w:color="auto" w:fill="FFFFFF"/>
        </w:rPr>
        <w:t xml:space="preserve"> </w:t>
      </w:r>
      <w:r w:rsidR="00861416">
        <w:rPr>
          <w:rFonts w:ascii="Century Schoolbook" w:hAnsi="Century Schoolbook"/>
          <w:color w:val="212121"/>
          <w:sz w:val="24"/>
          <w:szCs w:val="24"/>
          <w:shd w:val="clear" w:color="auto" w:fill="FFFFFF"/>
        </w:rPr>
        <w:t>K.C.</w:t>
      </w:r>
    </w:p>
    <w:p w14:paraId="5A40563A" w14:textId="021F4E69" w:rsidR="0067019D" w:rsidRPr="00B043BE" w:rsidRDefault="00723225" w:rsidP="0073309D">
      <w:pPr>
        <w:ind w:left="4320" w:firstLine="720"/>
        <w:jc w:val="both"/>
        <w:rPr>
          <w:rFonts w:ascii="Century Schoolbook" w:hAnsi="Century Schoolbook"/>
          <w:sz w:val="24"/>
          <w:szCs w:val="24"/>
        </w:rPr>
      </w:pPr>
      <w:r>
        <w:rPr>
          <w:rFonts w:ascii="Century Schoolbook" w:hAnsi="Century Schoolbook"/>
          <w:color w:val="212121"/>
          <w:sz w:val="24"/>
          <w:szCs w:val="24"/>
          <w:shd w:val="clear" w:color="auto" w:fill="FFFFFF"/>
        </w:rPr>
        <w:t xml:space="preserve">FERN </w:t>
      </w:r>
      <w:r w:rsidR="0073309D">
        <w:rPr>
          <w:rFonts w:ascii="Century Schoolbook" w:hAnsi="Century Schoolbook"/>
          <w:color w:val="212121"/>
          <w:sz w:val="24"/>
          <w:szCs w:val="24"/>
          <w:shd w:val="clear" w:color="auto" w:fill="FFFFFF"/>
        </w:rPr>
        <w:t>SCHOFIELD</w:t>
      </w:r>
    </w:p>
    <w:sectPr w:rsidR="0067019D" w:rsidRPr="00B043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C06A" w14:textId="77777777" w:rsidR="00353DF3" w:rsidRDefault="00353DF3" w:rsidP="00F809D0">
      <w:pPr>
        <w:spacing w:after="0" w:line="240" w:lineRule="auto"/>
      </w:pPr>
      <w:r>
        <w:separator/>
      </w:r>
    </w:p>
  </w:endnote>
  <w:endnote w:type="continuationSeparator" w:id="0">
    <w:p w14:paraId="1461BFCB" w14:textId="77777777" w:rsidR="00353DF3" w:rsidRDefault="00353DF3" w:rsidP="00F8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CC"/>
    <w:family w:val="swiss"/>
    <w:pitch w:val="variable"/>
    <w:sig w:usb0="E0007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EF64" w14:textId="77777777" w:rsidR="00353DF3" w:rsidRDefault="00353DF3" w:rsidP="00F809D0">
      <w:pPr>
        <w:spacing w:after="0" w:line="240" w:lineRule="auto"/>
      </w:pPr>
      <w:r>
        <w:separator/>
      </w:r>
    </w:p>
  </w:footnote>
  <w:footnote w:type="continuationSeparator" w:id="0">
    <w:p w14:paraId="7EDFEBC4" w14:textId="77777777" w:rsidR="00353DF3" w:rsidRDefault="00353DF3" w:rsidP="00F809D0">
      <w:pPr>
        <w:spacing w:after="0" w:line="240" w:lineRule="auto"/>
      </w:pPr>
      <w:r>
        <w:continuationSeparator/>
      </w:r>
    </w:p>
  </w:footnote>
  <w:footnote w:id="1">
    <w:p w14:paraId="23E41580" w14:textId="2130A6A0" w:rsidR="001932EE" w:rsidRPr="00453819" w:rsidRDefault="001932EE">
      <w:pPr>
        <w:pStyle w:val="FootnoteText"/>
        <w:rPr>
          <w:lang w:val="en-US"/>
        </w:rPr>
      </w:pPr>
      <w:r w:rsidRPr="00453819">
        <w:rPr>
          <w:rStyle w:val="FootnoteReference"/>
        </w:rPr>
        <w:footnoteRef/>
      </w:r>
      <w:r w:rsidRPr="00453819">
        <w:t xml:space="preserve"> </w:t>
      </w:r>
      <w:hyperlink r:id="rId1" w:history="1">
        <w:r w:rsidR="00453819" w:rsidRPr="00453819">
          <w:rPr>
            <w:rStyle w:val="Hyperlink"/>
            <w:lang w:val="en-US"/>
          </w:rPr>
          <w:t>https://www.falcon-chambers.com/publications/articles/top-3-cases-of-march-2026</w:t>
        </w:r>
      </w:hyperlink>
      <w:r w:rsidR="00453819" w:rsidRPr="00453819">
        <w:rPr>
          <w:lang w:val="en-US"/>
        </w:rPr>
        <w:t xml:space="preserve"> </w:t>
      </w:r>
    </w:p>
  </w:footnote>
  <w:footnote w:id="2">
    <w:p w14:paraId="2CE5A2FB" w14:textId="799C2D66" w:rsidR="00F809D0" w:rsidRPr="00F809D0" w:rsidRDefault="00F809D0">
      <w:pPr>
        <w:pStyle w:val="FootnoteText"/>
        <w:rPr>
          <w:lang w:val="en-US"/>
        </w:rPr>
      </w:pPr>
      <w:r w:rsidRPr="00453819">
        <w:rPr>
          <w:rStyle w:val="FootnoteReference"/>
        </w:rPr>
        <w:footnoteRef/>
      </w:r>
      <w:r w:rsidRPr="00453819">
        <w:t xml:space="preserve"> </w:t>
      </w:r>
      <w:hyperlink r:id="rId2" w:history="1">
        <w:r w:rsidR="00453819" w:rsidRPr="00453819">
          <w:rPr>
            <w:rStyle w:val="Hyperlink"/>
            <w:lang w:val="en-US"/>
          </w:rPr>
          <w:t>https://www.falcon-chambers.com/publications/articles/caterpillar-property-limited-anor-v-park-cakes-limited-2026-ewca-civ-575</w:t>
        </w:r>
      </w:hyperlink>
      <w:r w:rsidR="0045381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421F" w14:textId="5A47028E" w:rsidR="00F659F8" w:rsidRDefault="00F659F8" w:rsidP="00F659F8">
    <w:pPr>
      <w:pStyle w:val="Header"/>
      <w:jc w:val="center"/>
    </w:pPr>
    <w:r>
      <w:rPr>
        <w:noProof/>
      </w:rPr>
      <w:drawing>
        <wp:inline distT="0" distB="0" distL="0" distR="0" wp14:anchorId="7139DA99" wp14:editId="538417B1">
          <wp:extent cx="2438400" cy="551652"/>
          <wp:effectExtent l="0" t="0" r="0" b="1270"/>
          <wp:docPr id="149276725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7258"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2695" cy="559411"/>
                  </a:xfrm>
                  <a:prstGeom prst="rect">
                    <a:avLst/>
                  </a:prstGeom>
                </pic:spPr>
              </pic:pic>
            </a:graphicData>
          </a:graphic>
        </wp:inline>
      </w:drawing>
    </w:r>
  </w:p>
  <w:p w14:paraId="412C7CDA" w14:textId="77777777" w:rsidR="00F659F8" w:rsidRDefault="00F659F8" w:rsidP="00F659F8">
    <w:pPr>
      <w:pStyle w:val="Header"/>
      <w:jc w:val="center"/>
    </w:pPr>
  </w:p>
  <w:p w14:paraId="4133F5F2" w14:textId="77777777" w:rsidR="00F659F8" w:rsidRDefault="00F659F8" w:rsidP="00F659F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E9"/>
    <w:rsid w:val="00003648"/>
    <w:rsid w:val="00074AAC"/>
    <w:rsid w:val="00075273"/>
    <w:rsid w:val="000A35C4"/>
    <w:rsid w:val="000C394B"/>
    <w:rsid w:val="000C6ABA"/>
    <w:rsid w:val="000C6D35"/>
    <w:rsid w:val="000F45EA"/>
    <w:rsid w:val="000F68E9"/>
    <w:rsid w:val="00103C56"/>
    <w:rsid w:val="00103D2E"/>
    <w:rsid w:val="00121ECE"/>
    <w:rsid w:val="00135C0B"/>
    <w:rsid w:val="00185368"/>
    <w:rsid w:val="001932EE"/>
    <w:rsid w:val="00195288"/>
    <w:rsid w:val="001C1343"/>
    <w:rsid w:val="001C5D94"/>
    <w:rsid w:val="00215A5E"/>
    <w:rsid w:val="00231F49"/>
    <w:rsid w:val="00235C33"/>
    <w:rsid w:val="00274FE5"/>
    <w:rsid w:val="0028189C"/>
    <w:rsid w:val="002943F4"/>
    <w:rsid w:val="0029495A"/>
    <w:rsid w:val="002F345E"/>
    <w:rsid w:val="00306C72"/>
    <w:rsid w:val="00307BDB"/>
    <w:rsid w:val="003112B4"/>
    <w:rsid w:val="00312479"/>
    <w:rsid w:val="00351091"/>
    <w:rsid w:val="00353DF3"/>
    <w:rsid w:val="00452CCE"/>
    <w:rsid w:val="00453819"/>
    <w:rsid w:val="004C286D"/>
    <w:rsid w:val="004C3CDF"/>
    <w:rsid w:val="00515BC4"/>
    <w:rsid w:val="00522F62"/>
    <w:rsid w:val="00530015"/>
    <w:rsid w:val="00551CF7"/>
    <w:rsid w:val="005753F8"/>
    <w:rsid w:val="00582F4B"/>
    <w:rsid w:val="0059210A"/>
    <w:rsid w:val="00621417"/>
    <w:rsid w:val="0067019D"/>
    <w:rsid w:val="006E157A"/>
    <w:rsid w:val="006F76D2"/>
    <w:rsid w:val="00723225"/>
    <w:rsid w:val="007232F1"/>
    <w:rsid w:val="0073309D"/>
    <w:rsid w:val="00733EAD"/>
    <w:rsid w:val="00736E16"/>
    <w:rsid w:val="00736F3E"/>
    <w:rsid w:val="00744152"/>
    <w:rsid w:val="0074504B"/>
    <w:rsid w:val="00774F17"/>
    <w:rsid w:val="00780AB4"/>
    <w:rsid w:val="007A4F18"/>
    <w:rsid w:val="007A7E6F"/>
    <w:rsid w:val="007C0BAD"/>
    <w:rsid w:val="007F3668"/>
    <w:rsid w:val="007F58CD"/>
    <w:rsid w:val="00860887"/>
    <w:rsid w:val="00861416"/>
    <w:rsid w:val="008906A7"/>
    <w:rsid w:val="00891EAD"/>
    <w:rsid w:val="008A1A88"/>
    <w:rsid w:val="008A5A17"/>
    <w:rsid w:val="009076CD"/>
    <w:rsid w:val="009162C0"/>
    <w:rsid w:val="00927D94"/>
    <w:rsid w:val="00944182"/>
    <w:rsid w:val="00965A2C"/>
    <w:rsid w:val="00966A15"/>
    <w:rsid w:val="00983567"/>
    <w:rsid w:val="00985BBC"/>
    <w:rsid w:val="009A5848"/>
    <w:rsid w:val="009D7057"/>
    <w:rsid w:val="00A43068"/>
    <w:rsid w:val="00A60D18"/>
    <w:rsid w:val="00A64A6F"/>
    <w:rsid w:val="00A717D5"/>
    <w:rsid w:val="00A921A8"/>
    <w:rsid w:val="00AB07D5"/>
    <w:rsid w:val="00AC58D7"/>
    <w:rsid w:val="00AF1BC8"/>
    <w:rsid w:val="00AF5527"/>
    <w:rsid w:val="00B043BE"/>
    <w:rsid w:val="00B221E6"/>
    <w:rsid w:val="00B31D8E"/>
    <w:rsid w:val="00B4161F"/>
    <w:rsid w:val="00B62525"/>
    <w:rsid w:val="00B97B05"/>
    <w:rsid w:val="00BA2571"/>
    <w:rsid w:val="00BC0DFA"/>
    <w:rsid w:val="00BD2C69"/>
    <w:rsid w:val="00BD37AE"/>
    <w:rsid w:val="00BF4684"/>
    <w:rsid w:val="00C21813"/>
    <w:rsid w:val="00C901C5"/>
    <w:rsid w:val="00C95C43"/>
    <w:rsid w:val="00CA012F"/>
    <w:rsid w:val="00CA47E9"/>
    <w:rsid w:val="00CB138B"/>
    <w:rsid w:val="00CB1AD7"/>
    <w:rsid w:val="00CC2E19"/>
    <w:rsid w:val="00CD1520"/>
    <w:rsid w:val="00CE173B"/>
    <w:rsid w:val="00CE1878"/>
    <w:rsid w:val="00D157DC"/>
    <w:rsid w:val="00D77700"/>
    <w:rsid w:val="00D82B04"/>
    <w:rsid w:val="00DA7D90"/>
    <w:rsid w:val="00DC3380"/>
    <w:rsid w:val="00DE7ACF"/>
    <w:rsid w:val="00DF1E6C"/>
    <w:rsid w:val="00DF56AE"/>
    <w:rsid w:val="00DF5937"/>
    <w:rsid w:val="00E063DB"/>
    <w:rsid w:val="00EA53ED"/>
    <w:rsid w:val="00EA671F"/>
    <w:rsid w:val="00EE2D9A"/>
    <w:rsid w:val="00EF3E5C"/>
    <w:rsid w:val="00F01349"/>
    <w:rsid w:val="00F022FE"/>
    <w:rsid w:val="00F53124"/>
    <w:rsid w:val="00F659F8"/>
    <w:rsid w:val="00F809D0"/>
    <w:rsid w:val="00FD1FC7"/>
    <w:rsid w:val="00FE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AFA5"/>
  <w15:chartTrackingRefBased/>
  <w15:docId w15:val="{B5E157F2-34CB-4628-9B83-164C3AAD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4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2479"/>
    <w:rPr>
      <w:b/>
      <w:bCs/>
    </w:rPr>
  </w:style>
  <w:style w:type="character" w:customStyle="1" w:styleId="Heading1Char">
    <w:name w:val="Heading 1 Char"/>
    <w:basedOn w:val="DefaultParagraphFont"/>
    <w:link w:val="Heading1"/>
    <w:uiPriority w:val="9"/>
    <w:rsid w:val="004C3C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3CD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0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9D0"/>
    <w:rPr>
      <w:sz w:val="20"/>
      <w:szCs w:val="20"/>
    </w:rPr>
  </w:style>
  <w:style w:type="character" w:styleId="FootnoteReference">
    <w:name w:val="footnote reference"/>
    <w:basedOn w:val="DefaultParagraphFont"/>
    <w:uiPriority w:val="99"/>
    <w:semiHidden/>
    <w:unhideWhenUsed/>
    <w:rsid w:val="00F809D0"/>
    <w:rPr>
      <w:vertAlign w:val="superscript"/>
    </w:rPr>
  </w:style>
  <w:style w:type="character" w:styleId="Hyperlink">
    <w:name w:val="Hyperlink"/>
    <w:basedOn w:val="DefaultParagraphFont"/>
    <w:uiPriority w:val="99"/>
    <w:unhideWhenUsed/>
    <w:rsid w:val="00453819"/>
    <w:rPr>
      <w:color w:val="0563C1" w:themeColor="hyperlink"/>
      <w:u w:val="single"/>
    </w:rPr>
  </w:style>
  <w:style w:type="character" w:styleId="UnresolvedMention">
    <w:name w:val="Unresolved Mention"/>
    <w:basedOn w:val="DefaultParagraphFont"/>
    <w:uiPriority w:val="99"/>
    <w:semiHidden/>
    <w:unhideWhenUsed/>
    <w:rsid w:val="00453819"/>
    <w:rPr>
      <w:color w:val="605E5C"/>
      <w:shd w:val="clear" w:color="auto" w:fill="E1DFDD"/>
    </w:rPr>
  </w:style>
  <w:style w:type="paragraph" w:styleId="Header">
    <w:name w:val="header"/>
    <w:basedOn w:val="Normal"/>
    <w:link w:val="HeaderChar"/>
    <w:uiPriority w:val="99"/>
    <w:unhideWhenUsed/>
    <w:rsid w:val="00F65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9F8"/>
  </w:style>
  <w:style w:type="paragraph" w:styleId="Footer">
    <w:name w:val="footer"/>
    <w:basedOn w:val="Normal"/>
    <w:link w:val="FooterChar"/>
    <w:uiPriority w:val="99"/>
    <w:unhideWhenUsed/>
    <w:rsid w:val="00F6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463">
      <w:bodyDiv w:val="1"/>
      <w:marLeft w:val="0"/>
      <w:marRight w:val="0"/>
      <w:marTop w:val="0"/>
      <w:marBottom w:val="0"/>
      <w:divBdr>
        <w:top w:val="none" w:sz="0" w:space="0" w:color="auto"/>
        <w:left w:val="none" w:sz="0" w:space="0" w:color="auto"/>
        <w:bottom w:val="none" w:sz="0" w:space="0" w:color="auto"/>
        <w:right w:val="none" w:sz="0" w:space="0" w:color="auto"/>
      </w:divBdr>
    </w:div>
    <w:div w:id="17441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falcon-chambers.com/publications/articles/caterpillar-property-limited-anor-v-park-cakes-limited-2026-ewca-civ-575" TargetMode="External"/><Relationship Id="rId1" Type="http://schemas.openxmlformats.org/officeDocument/2006/relationships/hyperlink" Target="https://www.falcon-chambers.com/publications/articles/top-3-cases-of-march-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4676</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Horsfield-Schonhut</dc:creator>
  <cp:keywords/>
  <dc:description/>
  <cp:lastModifiedBy>Nina Bhose</cp:lastModifiedBy>
  <cp:revision>4</cp:revision>
  <dcterms:created xsi:type="dcterms:W3CDTF">2026-06-01T15:16:00Z</dcterms:created>
  <dcterms:modified xsi:type="dcterms:W3CDTF">2026-06-01T15:17:00Z</dcterms:modified>
</cp:coreProperties>
</file>